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line="360" w:lineRule="auto"/>
        <w:ind w:left="0" w:leftChars="0" w:firstLine="0" w:firstLineChars="0"/>
        <w:rPr>
          <w:rFonts w:hint="eastAsia" w:ascii="仿宋" w:hAnsi="仿宋" w:eastAsia="仿宋" w:cs="仿宋"/>
          <w:b/>
          <w:sz w:val="28"/>
          <w:szCs w:val="28"/>
          <w:highlight w:val="none"/>
        </w:rPr>
      </w:pPr>
      <w:r>
        <w:rPr>
          <w:rFonts w:hint="eastAsia" w:ascii="仿宋" w:hAnsi="仿宋" w:eastAsia="仿宋" w:cs="仿宋"/>
          <w:sz w:val="24"/>
          <w:szCs w:val="40"/>
          <w:highlight w:val="none"/>
          <w:lang w:val="en-US" w:eastAsia="zh-CN"/>
        </w:rPr>
        <w:t>公告附表——采购计划表：</w:t>
      </w:r>
    </w:p>
    <w:tbl>
      <w:tblPr>
        <w:tblStyle w:val="9"/>
        <w:tblW w:w="5055" w:type="pct"/>
        <w:tblInd w:w="-1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2"/>
        <w:gridCol w:w="1020"/>
        <w:gridCol w:w="1236"/>
        <w:gridCol w:w="456"/>
        <w:gridCol w:w="360"/>
        <w:gridCol w:w="1068"/>
        <w:gridCol w:w="1404"/>
        <w:gridCol w:w="936"/>
        <w:gridCol w:w="684"/>
        <w:gridCol w:w="1308"/>
        <w:gridCol w:w="944"/>
        <w:gridCol w:w="5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标段</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名称</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内容</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单位</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数量</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单价(预算.元)</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总价(预算.元)</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项目单位</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采购方式</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服务期\工期</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资金来源</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kern w:val="0"/>
                <w:sz w:val="21"/>
                <w:szCs w:val="21"/>
                <w:highlight w:val="none"/>
                <w:u w:val="none"/>
                <w:lang w:val="en-US" w:eastAsia="zh-CN" w:bidi="ar"/>
              </w:rPr>
            </w:pPr>
            <w:r>
              <w:rPr>
                <w:rFonts w:hint="eastAsia" w:ascii="仿宋" w:hAnsi="仿宋" w:eastAsia="仿宋" w:cs="仿宋"/>
                <w:b/>
                <w:bCs/>
                <w:i w:val="0"/>
                <w:iCs w:val="0"/>
                <w:color w:val="auto"/>
                <w:kern w:val="0"/>
                <w:sz w:val="21"/>
                <w:szCs w:val="21"/>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标段13 变电运行仿真系统租赁服务</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变电运行仿真系统租赁服务</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详见服务说明</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98000.00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98000.00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员工职业发展中心</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职工教育经费</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2283"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小计</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 xml:space="preserve">98000.00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标段14 绿植租摆</w:t>
            </w:r>
          </w:p>
        </w:tc>
        <w:tc>
          <w:tcPr>
            <w:tcW w:w="47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绿植租摆</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34200.00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34200.00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杭锦供电公司</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2023-12-15至2024-12-15</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绿化费</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17928.00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17928.00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东胜供电公司</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2023-8-1至2024-07-31</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绿化费</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8496.00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8496.00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输电管理一处</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绿化费</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7512.00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7512.00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输电管理二处</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绿化费</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17124.00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17124.00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棋盘井供电公司</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绿化费</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6048.00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6048.00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东胜铁西供电公司</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绿化费</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107352.00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107352.00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综合事务中心</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合同签订后9个月</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绿化费</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121560.00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121560.00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综合事务中心</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绿化费</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9528.00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9528.00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乌审供电公司</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绿化费</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11472.00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11472.00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伊金霍洛供电公司</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绿化费</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2283"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小计</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 xml:space="preserve">341220.00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标段15 舞台灯光维保服务</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生产调度楼舞台灯光维保服务</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生产调度楼舞台灯光维保</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33400.00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33400.00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综合事务中心</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中小修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2283"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小计</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 xml:space="preserve">33400.00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标段16 电梯维保</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鄂托克供电公司2023年电梯维保</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17000.00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17000.00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鄂托克供电公司</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中小修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棋盘井供电公司电梯维保</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9560.00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9560.00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棋盘井供电公司</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合同签订后至2023-12-31</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中小修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生产调度楼电梯维保</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48000.00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48000.00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综合事务中心</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中小修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鄂托克前旗供电公司电梯维保</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19900.00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19900.00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鄂托克前旗供电公司</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中小修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乌审供电公司电梯维护保养</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26500.00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26500.00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乌审供电公司</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2023.9.11-2024.9.10</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2023年中小修费用</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2283"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小计</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 xml:space="preserve">120960.00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标段17 空调维保</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鄂托克供电公司空调维保</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2023年鄂托克供电公司生产调度楼内中央空调和赛乌素供电所中央空调维护保养</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37582.00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37582.00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鄂托克供电公司</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中小修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东胜供电公司空调维保</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空调柜机压缩机加液</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469.00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6097.00 </w:t>
            </w:r>
          </w:p>
        </w:tc>
        <w:tc>
          <w:tcPr>
            <w:tcW w:w="433"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东胜供电公司</w:t>
            </w:r>
          </w:p>
        </w:tc>
        <w:tc>
          <w:tcPr>
            <w:tcW w:w="316"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中小修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东胜供电公司空调维保</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空调柜机过滤网清洗</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300.00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3900.00 </w:t>
            </w:r>
          </w:p>
        </w:tc>
        <w:tc>
          <w:tcPr>
            <w:tcW w:w="433"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31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605"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生产调度楼空调维保</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52941.00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52941.00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综合事务中心</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调度管理处调度大厅空调维保</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30000.00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30000.00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调度管理处</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2023-8-1至2024-7-31</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中小修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鄂托克前旗供电公司空调维保</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65564.00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65564.00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鄂托克前旗供电公司</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中小修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乌审供电公司空调维护保养</w:t>
            </w:r>
            <w:r>
              <w:rPr>
                <w:rStyle w:val="18"/>
                <w:rFonts w:hint="eastAsia" w:ascii="仿宋" w:hAnsi="仿宋" w:eastAsia="仿宋" w:cs="仿宋"/>
                <w:color w:val="auto"/>
                <w:sz w:val="21"/>
                <w:szCs w:val="21"/>
                <w:highlight w:val="none"/>
                <w:lang w:val="en-US" w:eastAsia="zh-CN" w:bidi="ar"/>
              </w:rPr>
              <w:t xml:space="preserve"> </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26985.38</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26985.38</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　乌审供电公司 </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合同签订后到2024年06月23日</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2023年中小修费用（维保费用）</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2283"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小计</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 xml:space="preserve">223069.38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标段18 </w:t>
            </w:r>
            <w:r>
              <w:rPr>
                <w:rStyle w:val="19"/>
                <w:rFonts w:hint="eastAsia" w:ascii="仿宋" w:hAnsi="仿宋" w:eastAsia="仿宋" w:cs="仿宋"/>
                <w:color w:val="auto"/>
                <w:sz w:val="21"/>
                <w:szCs w:val="21"/>
                <w:highlight w:val="none"/>
                <w:lang w:val="en-US" w:eastAsia="zh-CN" w:bidi="ar"/>
              </w:rPr>
              <w:t>微</w:t>
            </w:r>
            <w:r>
              <w:rPr>
                <w:rFonts w:hint="eastAsia" w:ascii="仿宋" w:hAnsi="仿宋" w:eastAsia="仿宋" w:cs="仿宋"/>
                <w:i w:val="0"/>
                <w:iCs w:val="0"/>
                <w:color w:val="auto"/>
                <w:kern w:val="0"/>
                <w:sz w:val="21"/>
                <w:szCs w:val="21"/>
                <w:highlight w:val="none"/>
                <w:u w:val="none"/>
                <w:lang w:val="en-US" w:eastAsia="zh-CN" w:bidi="ar"/>
              </w:rPr>
              <w:t>机防误闭锁装置维保</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乌审供电公司20座变电站微机防误闭锁装置维保</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防误闭锁装置维保</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129600.00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129600.00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乌审供电公司</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2023-8-5至2024-8-4</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中小修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2283"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小计</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 xml:space="preserve">129600.00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标段19 净水设备维保</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生产调度楼净水设备维保</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30800.00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30800.00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综合事务中心</w:t>
            </w:r>
          </w:p>
        </w:tc>
        <w:tc>
          <w:tcPr>
            <w:tcW w:w="316" w:type="pct"/>
            <w:tcBorders>
              <w:top w:val="nil"/>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中小修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2283"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小计</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 xml:space="preserve">30800.00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标段20 仪器仪表维修</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乌审供电公司2023年仪器仪表维修</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直流电阻测试仪，程控超低频高压发生器、气相色谱仪存在故障，需维修或返厂测试维修，更换部件，整机调试等维修。</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50000.00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50000.00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乌审供电公司</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合同签订后至2023-12-31</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中小修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2283"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小计</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 xml:space="preserve">50000.00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标段21 自助设备维保</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鄂尔多斯供电公司营业场所自助设备维保</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为了加强营销信息服务设备及设施的维护工作，及时、有效的解决各营业场所自助缴费机、ATM自助办电终端的故障问题，进一步提升优质服务水平。</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381000.00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381000.00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营销服务部</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合同签订后至2023-12-31</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中小修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2283"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小计</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 xml:space="preserve">381000.00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66"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标段22 等保测评</w:t>
            </w:r>
          </w:p>
        </w:tc>
        <w:tc>
          <w:tcPr>
            <w:tcW w:w="47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鄂供2023年生产技改棋盘井等2座运维站智能辅助监控系统改造</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1套主站信息系统等保测评服务和</w:t>
            </w:r>
            <w:r>
              <w:rPr>
                <w:rStyle w:val="19"/>
                <w:rFonts w:hint="eastAsia" w:ascii="仿宋" w:hAnsi="仿宋" w:eastAsia="仿宋" w:cs="仿宋"/>
                <w:color w:val="auto"/>
                <w:sz w:val="21"/>
                <w:szCs w:val="21"/>
                <w:highlight w:val="none"/>
                <w:lang w:val="en-US" w:eastAsia="zh-CN" w:bidi="ar"/>
              </w:rPr>
              <w:t>2座</w:t>
            </w:r>
            <w:r>
              <w:rPr>
                <w:rFonts w:hint="eastAsia" w:ascii="仿宋" w:hAnsi="仿宋" w:eastAsia="仿宋" w:cs="仿宋"/>
                <w:i w:val="0"/>
                <w:iCs w:val="0"/>
                <w:color w:val="auto"/>
                <w:kern w:val="0"/>
                <w:sz w:val="21"/>
                <w:szCs w:val="21"/>
                <w:highlight w:val="none"/>
                <w:u w:val="none"/>
                <w:lang w:val="en-US" w:eastAsia="zh-CN" w:bidi="ar"/>
              </w:rPr>
              <w:t>220kV变电站信息系统等保测评(三级)</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80000.00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240000.00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变电管理二处</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合同签订后至2023-10-31</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技改工程</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9座110kV变电站等保测评服务(二级)</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80000.00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720000.00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变电管理二处</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合同签订后至2023-10-31</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技改工程</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马莲等2座运维站智能辅控系统建设工程2座220kV变电站三级等保测评服务</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2座220kV变电站三级等保测评服务，详见技术规范</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80000.00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160000.00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变电管理一处</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合同签订后60天</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技改工程</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马莲等2座运维站智能辅控系统建设工程14座110kV变电站</w:t>
            </w:r>
            <w:r>
              <w:rPr>
                <w:rStyle w:val="19"/>
                <w:rFonts w:hint="eastAsia" w:ascii="仿宋" w:hAnsi="仿宋" w:eastAsia="仿宋" w:cs="仿宋"/>
                <w:color w:val="auto"/>
                <w:sz w:val="21"/>
                <w:szCs w:val="21"/>
                <w:highlight w:val="none"/>
                <w:lang w:val="en-US" w:eastAsia="zh-CN" w:bidi="ar"/>
              </w:rPr>
              <w:t>二</w:t>
            </w:r>
            <w:r>
              <w:rPr>
                <w:rStyle w:val="16"/>
                <w:rFonts w:hint="eastAsia" w:ascii="仿宋" w:hAnsi="仿宋" w:eastAsia="仿宋" w:cs="仿宋"/>
                <w:color w:val="auto"/>
                <w:sz w:val="21"/>
                <w:szCs w:val="21"/>
                <w:highlight w:val="none"/>
                <w:lang w:val="en-US" w:eastAsia="zh-CN" w:bidi="ar"/>
              </w:rPr>
              <w:t>级等保测评服务</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14座110kV变电站</w:t>
            </w:r>
            <w:r>
              <w:rPr>
                <w:rStyle w:val="19"/>
                <w:rFonts w:hint="eastAsia" w:ascii="仿宋" w:hAnsi="仿宋" w:eastAsia="仿宋" w:cs="仿宋"/>
                <w:color w:val="auto"/>
                <w:sz w:val="21"/>
                <w:szCs w:val="21"/>
                <w:highlight w:val="none"/>
                <w:lang w:val="en-US" w:eastAsia="zh-CN" w:bidi="ar"/>
              </w:rPr>
              <w:t>二</w:t>
            </w:r>
            <w:r>
              <w:rPr>
                <w:rStyle w:val="16"/>
                <w:rFonts w:hint="eastAsia" w:ascii="仿宋" w:hAnsi="仿宋" w:eastAsia="仿宋" w:cs="仿宋"/>
                <w:color w:val="auto"/>
                <w:sz w:val="21"/>
                <w:szCs w:val="21"/>
                <w:highlight w:val="none"/>
                <w:lang w:val="en-US" w:eastAsia="zh-CN" w:bidi="ar"/>
              </w:rPr>
              <w:t>级等保测评服务，详见技术规范</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80000.00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1120000.00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变电管理一处</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合同签订后60天</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技改工程</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2283"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小计</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 xml:space="preserve">2240000.00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标段23 仪器仪表检测</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信息通信仪器仪表检测</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信息通信处现有稳定光源17台、光功率计17台、光时域反射仪8台、光纤熔接机9台、2Mb/s误码仪7台需要进行检验、校准，上述设备均属于精密仪器，测试的精确程度直接影响测试结果，需要选取具有国家级资质的检验、校准机构。</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85800.00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85800.00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信息通信处</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合同签订后至2023-12-31</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设备检测费</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2283"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小计</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 xml:space="preserve">85800.00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标段24 监控设施维保</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康巴什东区、北区监控维保</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120451.22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120451.22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综合事务中心</w:t>
            </w:r>
          </w:p>
        </w:tc>
        <w:tc>
          <w:tcPr>
            <w:tcW w:w="316" w:type="pct"/>
            <w:tcBorders>
              <w:top w:val="single" w:color="000000" w:sz="4" w:space="0"/>
              <w:left w:val="single" w:color="000000" w:sz="4" w:space="0"/>
              <w:bottom w:val="nil"/>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中小修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生产调度楼监控维保</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42000.00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42000.00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综合事务中心</w:t>
            </w:r>
          </w:p>
        </w:tc>
        <w:tc>
          <w:tcPr>
            <w:tcW w:w="316" w:type="pct"/>
            <w:tcBorders>
              <w:top w:val="single" w:color="000000" w:sz="4" w:space="0"/>
              <w:left w:val="single" w:color="000000" w:sz="4" w:space="0"/>
              <w:bottom w:val="nil"/>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中小修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乌审供电公司监控维保</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详见明细</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9680.00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9680.00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乌审供电公司</w:t>
            </w:r>
          </w:p>
        </w:tc>
        <w:tc>
          <w:tcPr>
            <w:tcW w:w="316" w:type="pct"/>
            <w:tcBorders>
              <w:top w:val="single" w:color="000000" w:sz="4" w:space="0"/>
              <w:left w:val="single" w:color="000000" w:sz="4" w:space="0"/>
              <w:bottom w:val="nil"/>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合同签订后1年</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中小修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6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鄂尔多斯供电公司营业场所监控设施维保</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为了加强营销信息服务设备及设施的维护工作，及时、有效的解决各营业厅监控设备、排队叫号设备、体验厅设备的故障问题，进一步提升优质服务水平。</w:t>
            </w:r>
          </w:p>
        </w:tc>
        <w:tc>
          <w:tcPr>
            <w:tcW w:w="2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项</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231000.00 </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231000.00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营销服务部</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竞价采购</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合同签订后至2023-12-31</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中小修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83"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小计</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 xml:space="preserve">403131.22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i w:val="0"/>
                <w:iCs w:val="0"/>
                <w:color w:val="auto"/>
                <w:sz w:val="21"/>
                <w:szCs w:val="21"/>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83"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合计</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 xml:space="preserve">4136980.60 </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jc w:val="center"/>
              <w:rPr>
                <w:rFonts w:hint="eastAsia" w:ascii="仿宋" w:hAnsi="仿宋" w:eastAsia="仿宋" w:cs="仿宋"/>
                <w:b/>
                <w:bCs/>
                <w:i w:val="0"/>
                <w:iCs w:val="0"/>
                <w:color w:val="auto"/>
                <w:sz w:val="21"/>
                <w:szCs w:val="21"/>
                <w:highlight w:val="none"/>
                <w:u w:val="none"/>
              </w:rPr>
            </w:pPr>
          </w:p>
        </w:tc>
      </w:tr>
    </w:tbl>
    <w:p>
      <w:pPr>
        <w:pStyle w:val="17"/>
        <w:spacing w:line="360" w:lineRule="auto"/>
        <w:ind w:left="0" w:leftChars="0" w:firstLine="0" w:firstLineChars="0"/>
        <w:jc w:val="both"/>
        <w:rPr>
          <w:rFonts w:hint="eastAsia" w:ascii="仿宋" w:hAnsi="仿宋" w:eastAsia="仿宋" w:cs="仿宋"/>
          <w:b/>
          <w:bCs/>
          <w:color w:val="auto"/>
          <w:sz w:val="24"/>
          <w:szCs w:val="24"/>
          <w:highlight w:val="none"/>
          <w:lang w:val="en-US" w:eastAsia="zh-CN"/>
        </w:rPr>
        <w:sectPr>
          <w:pgSz w:w="11906" w:h="16838"/>
          <w:pgMar w:top="720" w:right="720" w:bottom="720" w:left="720" w:header="851" w:footer="992" w:gutter="0"/>
          <w:pgNumType w:fmt="decimal"/>
          <w:cols w:space="720" w:num="1"/>
          <w:docGrid w:type="lines" w:linePitch="312" w:charSpace="0"/>
        </w:sectPr>
      </w:pPr>
    </w:p>
    <w:p>
      <w:pPr>
        <w:spacing w:line="360" w:lineRule="auto"/>
        <w:ind w:right="-340" w:rightChars="-162"/>
        <w:jc w:val="center"/>
        <w:outlineLvl w:val="1"/>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标段14 绿植租摆分项报价明细表</w:t>
      </w:r>
    </w:p>
    <w:tbl>
      <w:tblPr>
        <w:tblStyle w:val="9"/>
        <w:tblW w:w="538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5"/>
        <w:gridCol w:w="1057"/>
        <w:gridCol w:w="1097"/>
        <w:gridCol w:w="495"/>
        <w:gridCol w:w="545"/>
        <w:gridCol w:w="457"/>
        <w:gridCol w:w="890"/>
        <w:gridCol w:w="881"/>
        <w:gridCol w:w="1681"/>
        <w:gridCol w:w="15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序号</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名称</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规格</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单位</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数量</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月</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单价（元）</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总价（元）</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项目部门</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墨兰</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4800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杭锦供电公司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君子兰</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3960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杭锦供电公司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大米兰</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4200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杭锦供电公司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富贵竹</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4200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杭锦供电公司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发财树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3600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杭锦供电公司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火鹤</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3600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杭锦供电公司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幸福树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41</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9840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杭锦供电公司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45"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34200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非洲茉莉</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4800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金钱树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1140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蝴蝶兰</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43</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4644</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平安树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也门铁</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32</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2304</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万年青</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水培绿萝</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1440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45"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17928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非洲茉莉</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4800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输电管理一处</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万年青</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1440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输电管理一处</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蝴蝶兰</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43</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1032</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输电管理一处</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水培绿萝</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17</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1224</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输电管理一处</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45"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8496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万年青</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960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输电管理二处</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幸福树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输电管理二处</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平安树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480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输电管理二处</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红掌</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756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输电管理二处</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也门铁</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32</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1152</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输电管理二处</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金钱树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684</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输电管理二处</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蝴蝶兰</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43</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2580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输电管理二处</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45"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7512</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广山峰</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棵</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6600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棋盘井供电公司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绿萝柱</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1.6m带盆/座</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576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棋盘井供电公司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凤尾竹</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（树冠90CM,树高130CM）带盆/座</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576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棋盘井供电公司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富贵竹</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棋盘井供电公司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盆景榕</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576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棋盘井供电公司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平安树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棋盘井供电公司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幸福树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棋盘井供电公司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大发财树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棋盘井供电公司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二层幸福树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棋盘井供电公司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富贵榕</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棋盘井供电公司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六头龙铁</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1440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棋盘井供电公司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大鸭掌木</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棋盘井供电公司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大钱串子</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棋盘井供电公司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中鸭掌木</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棋盘井供电公司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45"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17124</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龟背竹</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576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东胜铁西供电公司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分公司本部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铁树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32</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768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东胜铁西供电公司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分公司本部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平安树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960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东胜铁西供电公司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分公司本部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散尾葵</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23</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828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东胜铁西供电公司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分公司本部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变叶木</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468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东胜铁西供电公司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分公司本部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龙血树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东胜铁西供电公司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分公司本部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红钻</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780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东胜铁西供电公司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分公司本部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绿钻</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780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东胜铁西供电公司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分公司本部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水培绿萝</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东胜铁西供电公司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达汉壕供电所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水培薄荷</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东胜铁西供电公司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达汉壕供电所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水培一帆风顺</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东胜铁西供电公司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达汉壕供电所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45"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6048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万年青</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3960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也门铁</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32</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8640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螺纹铁</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4725</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龙血树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5760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阿尔卑斯</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3780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非洲茉莉</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4320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夏威夷</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23</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828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绿萝</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直径36cm,含花架</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810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蝴蝶兰</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43</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3096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绿萝</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直径36cm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256</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9216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金钻</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1053</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绿公主</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360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非洲茉莉</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鸡心藤</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3420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水培一帆风顺</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162</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红掌</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1215</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17</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鸭掌木</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1944</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夏威夷</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23</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414</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幸福树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396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榕树盆景</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450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8100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金钱树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513</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薄荷</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0.2m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324</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如意</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幸福树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675</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橡皮树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27</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243</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26</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红掌</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27</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平安树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360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28</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水培美酒</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29</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龙血树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360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30</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非洲茉莉</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2880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水培绿萝</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810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红掌</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540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鸭掌木</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324</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平安树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35</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金钻</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936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36</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水培美酒</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37</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龙血树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38</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非洲茉莉</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2880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39</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水培绿萝</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2700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40</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鸡心藤</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684</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非洲茉莉</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2880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蝴蝶兰</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43</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1548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夏威夷</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23</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828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阿尔卑斯</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45</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螺纹铁</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1512</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46</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万年青</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360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47</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绿萝</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直径36cm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288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48</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也门铁</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32</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2304</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康巴什东区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49</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榕树三层</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1080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鸿运当头</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鹅掌木</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35</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630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君子兰</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810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富贵椰子</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1368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康巴什东区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绿公主</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1440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康巴什东区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55</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龙血树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康巴什东区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56</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万年青</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2160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康巴什东区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57</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水培绿萝</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康巴什东区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58</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小蒲葵</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324</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康巴什东区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59</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三角梅</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252</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康巴什东区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金钻</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936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康巴什东区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绿萝</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直径36cm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1152</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康巴什东区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鸭掌木</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1728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康巴什东区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水培一帆风顺</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648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康巴什东区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阿尔卑斯</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康巴什东区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65</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吊兰</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直径36cm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康巴什东区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45"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107352</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棍棒椰子</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650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62400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二楼阳光大厅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竹子</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17</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28560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二楼阳光大厅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天堂鸟</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9360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二楼阳光大厅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夏威夷</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23</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2760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二楼阳光大厅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三拼大红掌</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28</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3360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二楼阳光大厅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鱼尾葵</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630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15120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二楼阳光大厅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45"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121560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绿宝</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（树冠90CM,树高120CM）带盆/座</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20.00 </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凤尾竹</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（树冠90CM,树高130CM）带盆/座</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24 </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1728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64"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富贵树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（树冠90CM,树高120CM）带盆/座</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20.00 </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1440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龙须树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（树冠90CM,树高130CM）带盆/座</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22.00 </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2112</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绿萝柱</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（树冠90CM,树高150CM）带盆/座</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22 </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1848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45"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9528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万年青</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3840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非洲茉莉</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960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金钱树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鸿运竹</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小碧玉</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480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绿巨人</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如意</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840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竹柏盆景</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红掌</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108</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幸福树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鹅掌盆景</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360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小罗汉松</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迎客松盆景</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0.7m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小椰子</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多肉</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0.2m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龙血树</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1440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17</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八角</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金钻</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罗汉松</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金鱼吊兰</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水培圆叶椒草</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0.6m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网纹草</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23</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小紫檀</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皱皮草</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0.4m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鸡心藤</w:t>
            </w:r>
          </w:p>
        </w:tc>
        <w:tc>
          <w:tcPr>
            <w:tcW w:w="5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1.8m</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盆</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456</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伊金霍洛供电公司</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45"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11472</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45"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合计</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341220</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仿宋" w:hAnsi="仿宋" w:eastAsia="仿宋" w:cs="仿宋"/>
                <w:b/>
                <w:bCs/>
                <w:i w:val="0"/>
                <w:iCs w:val="0"/>
                <w:color w:val="000000"/>
                <w:sz w:val="21"/>
                <w:szCs w:val="21"/>
                <w:u w:val="none"/>
              </w:rPr>
            </w:pPr>
          </w:p>
        </w:tc>
        <w:tc>
          <w:tcPr>
            <w:tcW w:w="858"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5000" w:type="pct"/>
            <w:gridSpan w:val="10"/>
            <w:tcBorders>
              <w:top w:val="nil"/>
              <w:left w:val="nil"/>
              <w:bottom w:val="nil"/>
              <w:right w:val="nil"/>
            </w:tcBorders>
            <w:noWrap w:val="0"/>
            <w:vAlign w:val="center"/>
          </w:tcPr>
          <w:p>
            <w:pPr>
              <w:keepNext w:val="0"/>
              <w:keepLines w:val="0"/>
              <w:widowControl/>
              <w:suppressLineNumbers w:val="0"/>
              <w:spacing w:line="36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本项目所有绿植含盆含底座；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供应商负责盆栽日常管理(浇水、施肥、修剪、清洁)工作，做到绿植盆栽无病虫害、叶面无尘土、盆中无烟蒂等杂物，如有此类情况发生，供应商需无条件按照甲方要求更换最新盆栽，保证盆栽常绿常青常艳。同时保持现场清洁卫生，做到人走场净；</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供应商负责盆栽日常管理(浇水、施肥、修剪、清洁)工作，发生枯萎、死亡应在2日内更换，发现叶面有尘土、烟蒂，发现1次，扣款500元，如发生3次以上未及时处理的，将会同物资供应处进行约谈，发生5次以上未及时处理的，将予以清退；</w:t>
            </w:r>
          </w:p>
        </w:tc>
      </w:tr>
    </w:tbl>
    <w:p>
      <w:pPr>
        <w:pStyle w:val="2"/>
        <w:rPr>
          <w:rFonts w:hint="eastAsia"/>
          <w:lang w:val="en-US" w:eastAsia="zh-CN"/>
        </w:rPr>
        <w:sectPr>
          <w:pgSz w:w="11906" w:h="16838"/>
          <w:pgMar w:top="1440" w:right="1800" w:bottom="1440" w:left="1800" w:header="851" w:footer="992" w:gutter="0"/>
          <w:pgNumType w:fmt="decimal"/>
          <w:cols w:space="720" w:num="1"/>
          <w:docGrid w:type="lines" w:linePitch="312" w:charSpace="0"/>
        </w:sectPr>
      </w:pPr>
    </w:p>
    <w:p>
      <w:pPr>
        <w:spacing w:line="360" w:lineRule="auto"/>
        <w:ind w:right="-340" w:rightChars="-162"/>
        <w:jc w:val="center"/>
        <w:outlineLvl w:val="1"/>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val="en-US" w:eastAsia="zh-CN"/>
        </w:rPr>
        <w:t>标段15 舞台灯光维保服务分项报价明细表</w:t>
      </w:r>
    </w:p>
    <w:tbl>
      <w:tblPr>
        <w:tblStyle w:val="9"/>
        <w:tblpPr w:leftFromText="180" w:rightFromText="180" w:vertAnchor="text" w:horzAnchor="page" w:tblpX="1130" w:tblpY="338"/>
        <w:tblOverlap w:val="never"/>
        <w:tblW w:w="96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78"/>
        <w:gridCol w:w="2379"/>
        <w:gridCol w:w="864"/>
        <w:gridCol w:w="924"/>
        <w:gridCol w:w="2124"/>
        <w:gridCol w:w="1668"/>
        <w:gridCol w:w="9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0" w:hRule="atLeast"/>
        </w:trPr>
        <w:tc>
          <w:tcPr>
            <w:tcW w:w="9637" w:type="dxa"/>
            <w:gridSpan w:val="7"/>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b/>
                <w:i w:val="0"/>
                <w:color w:val="000000"/>
                <w:kern w:val="0"/>
                <w:sz w:val="21"/>
                <w:szCs w:val="21"/>
                <w:u w:val="none"/>
                <w:lang w:val="en-US" w:eastAsia="zh-CN" w:bidi="ar"/>
              </w:rPr>
              <w:t>生产调度楼多功能厅舞台灯光设备维保明细表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7"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b/>
                <w:bCs w:val="0"/>
                <w:i w:val="0"/>
                <w:color w:val="000000"/>
                <w:sz w:val="21"/>
                <w:szCs w:val="21"/>
                <w:u w:val="none"/>
              </w:rPr>
            </w:pPr>
            <w:r>
              <w:rPr>
                <w:rFonts w:hint="eastAsia" w:ascii="仿宋" w:hAnsi="仿宋" w:eastAsia="仿宋" w:cs="仿宋"/>
                <w:b/>
                <w:bCs w:val="0"/>
                <w:i w:val="0"/>
                <w:color w:val="000000"/>
                <w:kern w:val="0"/>
                <w:sz w:val="21"/>
                <w:szCs w:val="21"/>
                <w:u w:val="none"/>
                <w:lang w:val="en-US" w:eastAsia="zh-CN" w:bidi="ar"/>
              </w:rPr>
              <w:t>序号</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b/>
                <w:bCs w:val="0"/>
                <w:i w:val="0"/>
                <w:color w:val="000000"/>
                <w:sz w:val="21"/>
                <w:szCs w:val="21"/>
                <w:u w:val="none"/>
              </w:rPr>
            </w:pPr>
            <w:r>
              <w:rPr>
                <w:rFonts w:hint="eastAsia" w:ascii="仿宋" w:hAnsi="仿宋" w:eastAsia="仿宋" w:cs="仿宋"/>
                <w:b/>
                <w:bCs w:val="0"/>
                <w:i w:val="0"/>
                <w:color w:val="000000"/>
                <w:kern w:val="0"/>
                <w:sz w:val="21"/>
                <w:szCs w:val="21"/>
                <w:u w:val="none"/>
                <w:lang w:val="en-US" w:eastAsia="zh-CN" w:bidi="ar"/>
              </w:rPr>
              <w:t>系统名称</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b/>
                <w:bCs w:val="0"/>
                <w:i w:val="0"/>
                <w:color w:val="000000"/>
                <w:sz w:val="21"/>
                <w:szCs w:val="21"/>
                <w:u w:val="none"/>
              </w:rPr>
            </w:pPr>
            <w:r>
              <w:rPr>
                <w:rFonts w:hint="eastAsia" w:ascii="仿宋" w:hAnsi="仿宋" w:eastAsia="仿宋" w:cs="仿宋"/>
                <w:b/>
                <w:bCs w:val="0"/>
                <w:i w:val="0"/>
                <w:color w:val="000000"/>
                <w:kern w:val="0"/>
                <w:sz w:val="21"/>
                <w:szCs w:val="21"/>
                <w:u w:val="none"/>
                <w:lang w:val="en-US" w:eastAsia="zh-CN" w:bidi="ar"/>
              </w:rPr>
              <w:t>单位</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b/>
                <w:bCs w:val="0"/>
                <w:i w:val="0"/>
                <w:color w:val="000000"/>
                <w:sz w:val="21"/>
                <w:szCs w:val="21"/>
                <w:u w:val="none"/>
              </w:rPr>
            </w:pPr>
            <w:r>
              <w:rPr>
                <w:rFonts w:hint="eastAsia" w:ascii="仿宋" w:hAnsi="仿宋" w:eastAsia="仿宋" w:cs="仿宋"/>
                <w:b/>
                <w:bCs w:val="0"/>
                <w:i w:val="0"/>
                <w:color w:val="000000"/>
                <w:kern w:val="0"/>
                <w:sz w:val="21"/>
                <w:szCs w:val="21"/>
                <w:u w:val="none"/>
                <w:lang w:val="en-US" w:eastAsia="zh-CN" w:bidi="ar"/>
              </w:rPr>
              <w:t>数量</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b/>
                <w:bCs w:val="0"/>
                <w:i w:val="0"/>
                <w:color w:val="000000"/>
                <w:sz w:val="21"/>
                <w:szCs w:val="21"/>
                <w:u w:val="none"/>
              </w:rPr>
            </w:pPr>
            <w:r>
              <w:rPr>
                <w:rFonts w:hint="eastAsia" w:ascii="仿宋" w:hAnsi="仿宋" w:eastAsia="仿宋" w:cs="仿宋"/>
                <w:b/>
                <w:bCs w:val="0"/>
                <w:i w:val="0"/>
                <w:color w:val="000000"/>
                <w:kern w:val="0"/>
                <w:sz w:val="21"/>
                <w:szCs w:val="21"/>
                <w:u w:val="none"/>
                <w:lang w:val="en-US" w:eastAsia="zh-CN" w:bidi="ar"/>
              </w:rPr>
              <w:t>维保单价（元/年）</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b/>
                <w:bCs w:val="0"/>
                <w:i w:val="0"/>
                <w:color w:val="000000"/>
                <w:sz w:val="21"/>
                <w:szCs w:val="21"/>
                <w:u w:val="none"/>
              </w:rPr>
            </w:pPr>
            <w:r>
              <w:rPr>
                <w:rStyle w:val="20"/>
                <w:rFonts w:hint="eastAsia" w:ascii="仿宋" w:hAnsi="仿宋" w:eastAsia="仿宋" w:cs="仿宋"/>
                <w:b/>
                <w:bCs w:val="0"/>
                <w:sz w:val="21"/>
                <w:szCs w:val="21"/>
                <w:lang w:val="en-US" w:eastAsia="zh-CN" w:bidi="ar"/>
              </w:rPr>
              <w:t>总价（元/年）</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b/>
                <w:bCs w:val="0"/>
                <w:sz w:val="21"/>
                <w:szCs w:val="21"/>
              </w:rPr>
            </w:pPr>
            <w:r>
              <w:rPr>
                <w:rFonts w:hint="eastAsia" w:ascii="仿宋" w:hAnsi="仿宋" w:eastAsia="仿宋" w:cs="仿宋"/>
                <w:b/>
                <w:bCs w:val="0"/>
                <w:i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舞台回光灯</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60</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20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1200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成像灯</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90</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10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900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3</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电脑摇头灯</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60</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50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3000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4</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电脑灯控制台</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140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280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5</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2500瓦追光灯</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60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120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聚光灯</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16</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20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320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7</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LED帕灯</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140</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auto"/>
                <w:sz w:val="21"/>
                <w:szCs w:val="21"/>
                <w:u w:val="none"/>
                <w:lang w:val="en-US"/>
              </w:rPr>
            </w:pPr>
            <w:r>
              <w:rPr>
                <w:rFonts w:hint="eastAsia" w:ascii="仿宋" w:hAnsi="仿宋" w:eastAsia="仿宋" w:cs="仿宋"/>
                <w:i w:val="0"/>
                <w:color w:val="auto"/>
                <w:kern w:val="0"/>
                <w:sz w:val="21"/>
                <w:szCs w:val="21"/>
                <w:u w:val="none"/>
                <w:lang w:val="en-US" w:eastAsia="zh-CN" w:bidi="ar"/>
              </w:rPr>
              <w:t>30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auto"/>
                <w:sz w:val="21"/>
                <w:szCs w:val="21"/>
                <w:u w:val="none"/>
                <w:lang w:val="en-US" w:eastAsia="zh-CN"/>
              </w:rPr>
            </w:pPr>
            <w:r>
              <w:rPr>
                <w:rFonts w:hint="eastAsia" w:ascii="仿宋" w:hAnsi="仿宋" w:eastAsia="仿宋" w:cs="仿宋"/>
                <w:i w:val="0"/>
                <w:color w:val="auto"/>
                <w:sz w:val="21"/>
                <w:szCs w:val="21"/>
                <w:u w:val="none"/>
                <w:lang w:val="en-US" w:eastAsia="zh-CN"/>
              </w:rPr>
              <w:t>4200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8</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三基色柔光灯</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18</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10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180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9</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天排地排灯</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16</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10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160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10</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常规灯硅箱</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12</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20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240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11</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灯光控制台</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50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12</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电源直通箱</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7</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70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490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13</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电源管理箱</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4</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40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160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14</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512信号放大器</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4</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20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80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15</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信号插口测试</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次</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150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150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16</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线路整理维修</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次</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260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260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17</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换色器控制台</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30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60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7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18</w:t>
            </w:r>
          </w:p>
        </w:tc>
        <w:tc>
          <w:tcPr>
            <w:tcW w:w="23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常规灯换色器</w:t>
            </w:r>
          </w:p>
        </w:tc>
        <w:tc>
          <w:tcPr>
            <w:tcW w:w="86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w:t>
            </w:r>
          </w:p>
        </w:tc>
        <w:tc>
          <w:tcPr>
            <w:tcW w:w="9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100</w:t>
            </w:r>
          </w:p>
        </w:tc>
        <w:tc>
          <w:tcPr>
            <w:tcW w:w="212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6</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600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7069"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合计</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12500</w:t>
            </w:r>
          </w:p>
        </w:tc>
        <w:tc>
          <w:tcPr>
            <w:tcW w:w="9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sz w:val="21"/>
                <w:szCs w:val="21"/>
              </w:rPr>
            </w:pPr>
          </w:p>
        </w:tc>
      </w:tr>
    </w:tbl>
    <w:p>
      <w:pPr>
        <w:spacing w:line="360" w:lineRule="auto"/>
        <w:rPr>
          <w:rFonts w:hint="eastAsia" w:ascii="仿宋" w:hAnsi="仿宋" w:eastAsia="仿宋" w:cs="仿宋"/>
          <w:sz w:val="21"/>
          <w:szCs w:val="21"/>
        </w:rPr>
        <w:sectPr>
          <w:pgSz w:w="11906" w:h="16838"/>
          <w:pgMar w:top="1440" w:right="1800" w:bottom="1440" w:left="1800" w:header="851" w:footer="992" w:gutter="0"/>
          <w:pgNumType w:fmt="decimal"/>
          <w:cols w:space="720" w:num="1"/>
          <w:docGrid w:type="lines" w:linePitch="312" w:charSpace="0"/>
        </w:sectPr>
      </w:pPr>
    </w:p>
    <w:tbl>
      <w:tblPr>
        <w:tblStyle w:val="9"/>
        <w:tblpPr w:leftFromText="180" w:rightFromText="180" w:vertAnchor="text" w:horzAnchor="page" w:tblpX="1340" w:tblpY="623"/>
        <w:tblOverlap w:val="never"/>
        <w:tblW w:w="966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56"/>
        <w:gridCol w:w="2665"/>
        <w:gridCol w:w="696"/>
        <w:gridCol w:w="828"/>
        <w:gridCol w:w="2100"/>
        <w:gridCol w:w="1668"/>
        <w:gridCol w:w="9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9661" w:type="dxa"/>
            <w:gridSpan w:val="7"/>
            <w:tcBorders>
              <w:top w:val="nil"/>
              <w:left w:val="nil"/>
              <w:bottom w:val="single" w:color="000000" w:sz="4" w:space="0"/>
              <w:right w:val="nil"/>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b/>
                <w:i w:val="0"/>
                <w:color w:val="000000"/>
                <w:sz w:val="21"/>
                <w:szCs w:val="21"/>
                <w:u w:val="none"/>
              </w:rPr>
            </w:pPr>
            <w:r>
              <w:rPr>
                <w:rFonts w:hint="eastAsia" w:ascii="仿宋" w:hAnsi="仿宋" w:eastAsia="仿宋" w:cs="仿宋"/>
                <w:b/>
                <w:i w:val="0"/>
                <w:color w:val="000000"/>
                <w:kern w:val="0"/>
                <w:sz w:val="21"/>
                <w:szCs w:val="21"/>
                <w:u w:val="none"/>
                <w:lang w:val="en-US" w:eastAsia="zh-CN" w:bidi="ar"/>
              </w:rPr>
              <w:t>生产调度楼多功能厅舞台机械设备维保明细表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7" w:hRule="atLeast"/>
        </w:trPr>
        <w:tc>
          <w:tcPr>
            <w:tcW w:w="75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b/>
                <w:i w:val="0"/>
                <w:color w:val="000000"/>
                <w:sz w:val="21"/>
                <w:szCs w:val="21"/>
                <w:u w:val="none"/>
              </w:rPr>
            </w:pPr>
            <w:r>
              <w:rPr>
                <w:rFonts w:hint="eastAsia" w:ascii="仿宋" w:hAnsi="仿宋" w:eastAsia="仿宋" w:cs="仿宋"/>
                <w:b/>
                <w:i w:val="0"/>
                <w:color w:val="000000"/>
                <w:kern w:val="0"/>
                <w:sz w:val="21"/>
                <w:szCs w:val="21"/>
                <w:u w:val="none"/>
                <w:lang w:val="en-US" w:eastAsia="zh-CN" w:bidi="ar"/>
              </w:rPr>
              <w:t>序号</w:t>
            </w:r>
          </w:p>
        </w:tc>
        <w:tc>
          <w:tcPr>
            <w:tcW w:w="26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b/>
                <w:i w:val="0"/>
                <w:color w:val="000000"/>
                <w:sz w:val="21"/>
                <w:szCs w:val="21"/>
                <w:u w:val="none"/>
              </w:rPr>
            </w:pPr>
            <w:r>
              <w:rPr>
                <w:rFonts w:hint="eastAsia" w:ascii="仿宋" w:hAnsi="仿宋" w:eastAsia="仿宋" w:cs="仿宋"/>
                <w:b/>
                <w:i w:val="0"/>
                <w:color w:val="000000"/>
                <w:kern w:val="0"/>
                <w:sz w:val="21"/>
                <w:szCs w:val="21"/>
                <w:u w:val="none"/>
                <w:lang w:val="en-US" w:eastAsia="zh-CN" w:bidi="ar"/>
              </w:rPr>
              <w:t>系统名称</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b/>
                <w:i w:val="0"/>
                <w:color w:val="000000"/>
                <w:sz w:val="21"/>
                <w:szCs w:val="21"/>
                <w:u w:val="none"/>
              </w:rPr>
            </w:pPr>
            <w:r>
              <w:rPr>
                <w:rFonts w:hint="eastAsia" w:ascii="仿宋" w:hAnsi="仿宋" w:eastAsia="仿宋" w:cs="仿宋"/>
                <w:b/>
                <w:i w:val="0"/>
                <w:color w:val="000000"/>
                <w:kern w:val="0"/>
                <w:sz w:val="21"/>
                <w:szCs w:val="21"/>
                <w:u w:val="none"/>
                <w:lang w:val="en-US" w:eastAsia="zh-CN" w:bidi="ar"/>
              </w:rPr>
              <w:t>单位</w:t>
            </w:r>
          </w:p>
        </w:tc>
        <w:tc>
          <w:tcPr>
            <w:tcW w:w="82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b/>
                <w:i w:val="0"/>
                <w:color w:val="000000"/>
                <w:sz w:val="21"/>
                <w:szCs w:val="21"/>
                <w:u w:val="none"/>
              </w:rPr>
            </w:pPr>
            <w:r>
              <w:rPr>
                <w:rFonts w:hint="eastAsia" w:ascii="仿宋" w:hAnsi="仿宋" w:eastAsia="仿宋" w:cs="仿宋"/>
                <w:b/>
                <w:i w:val="0"/>
                <w:color w:val="000000"/>
                <w:kern w:val="0"/>
                <w:sz w:val="21"/>
                <w:szCs w:val="21"/>
                <w:u w:val="none"/>
                <w:lang w:val="en-US" w:eastAsia="zh-CN" w:bidi="ar"/>
              </w:rPr>
              <w:t>数量</w:t>
            </w:r>
          </w:p>
        </w:tc>
        <w:tc>
          <w:tcPr>
            <w:tcW w:w="21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b/>
                <w:i w:val="0"/>
                <w:color w:val="000000"/>
                <w:sz w:val="21"/>
                <w:szCs w:val="21"/>
                <w:u w:val="none"/>
              </w:rPr>
            </w:pPr>
            <w:r>
              <w:rPr>
                <w:rFonts w:hint="eastAsia" w:ascii="仿宋" w:hAnsi="仿宋" w:eastAsia="仿宋" w:cs="仿宋"/>
                <w:b/>
                <w:i w:val="0"/>
                <w:color w:val="000000"/>
                <w:kern w:val="0"/>
                <w:sz w:val="21"/>
                <w:szCs w:val="21"/>
                <w:u w:val="none"/>
                <w:lang w:val="en-US" w:eastAsia="zh-CN" w:bidi="ar"/>
              </w:rPr>
              <w:t>维保单价（元/年）</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b/>
                <w:i w:val="0"/>
                <w:color w:val="000000"/>
                <w:sz w:val="21"/>
                <w:szCs w:val="21"/>
                <w:u w:val="none"/>
              </w:rPr>
            </w:pPr>
            <w:r>
              <w:rPr>
                <w:rFonts w:hint="eastAsia" w:ascii="仿宋" w:hAnsi="仿宋" w:eastAsia="仿宋" w:cs="仿宋"/>
                <w:b/>
                <w:i w:val="0"/>
                <w:color w:val="000000"/>
                <w:kern w:val="0"/>
                <w:sz w:val="21"/>
                <w:szCs w:val="21"/>
                <w:u w:val="none"/>
                <w:lang w:val="en-US" w:eastAsia="zh-CN" w:bidi="ar"/>
              </w:rPr>
              <w:t>总价（元/年）</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b/>
                <w:i w:val="0"/>
                <w:color w:val="000000"/>
                <w:sz w:val="21"/>
                <w:szCs w:val="21"/>
                <w:u w:val="none"/>
              </w:rPr>
            </w:pPr>
            <w:r>
              <w:rPr>
                <w:rFonts w:hint="eastAsia" w:ascii="仿宋" w:hAnsi="仿宋" w:eastAsia="仿宋" w:cs="仿宋"/>
                <w:b/>
                <w:i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75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w:t>
            </w:r>
          </w:p>
        </w:tc>
        <w:tc>
          <w:tcPr>
            <w:tcW w:w="26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舞台机械电机检修</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w:t>
            </w:r>
          </w:p>
        </w:tc>
        <w:tc>
          <w:tcPr>
            <w:tcW w:w="82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37</w:t>
            </w:r>
          </w:p>
        </w:tc>
        <w:tc>
          <w:tcPr>
            <w:tcW w:w="21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90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3330</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75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w:t>
            </w:r>
          </w:p>
        </w:tc>
        <w:tc>
          <w:tcPr>
            <w:tcW w:w="26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机械基础梁，马道，轮梁</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套</w:t>
            </w:r>
          </w:p>
        </w:tc>
        <w:tc>
          <w:tcPr>
            <w:tcW w:w="82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w:t>
            </w:r>
          </w:p>
        </w:tc>
        <w:tc>
          <w:tcPr>
            <w:tcW w:w="21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445</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445</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75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3</w:t>
            </w:r>
          </w:p>
        </w:tc>
        <w:tc>
          <w:tcPr>
            <w:tcW w:w="26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升降灯杆可移动侧光片系统</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套</w:t>
            </w:r>
          </w:p>
        </w:tc>
        <w:tc>
          <w:tcPr>
            <w:tcW w:w="82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w:t>
            </w:r>
          </w:p>
        </w:tc>
        <w:tc>
          <w:tcPr>
            <w:tcW w:w="21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850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1700</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75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4</w:t>
            </w:r>
          </w:p>
        </w:tc>
        <w:tc>
          <w:tcPr>
            <w:tcW w:w="26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收线框</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个</w:t>
            </w:r>
          </w:p>
        </w:tc>
        <w:tc>
          <w:tcPr>
            <w:tcW w:w="82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11</w:t>
            </w:r>
          </w:p>
        </w:tc>
        <w:tc>
          <w:tcPr>
            <w:tcW w:w="21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660</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75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5</w:t>
            </w:r>
          </w:p>
        </w:tc>
        <w:tc>
          <w:tcPr>
            <w:tcW w:w="26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升降幕布、备用吊杆系统</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套</w:t>
            </w:r>
          </w:p>
        </w:tc>
        <w:tc>
          <w:tcPr>
            <w:tcW w:w="82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16</w:t>
            </w:r>
          </w:p>
        </w:tc>
        <w:tc>
          <w:tcPr>
            <w:tcW w:w="21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220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3520</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75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w:t>
            </w:r>
          </w:p>
        </w:tc>
        <w:tc>
          <w:tcPr>
            <w:tcW w:w="26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固定面光杆</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道</w:t>
            </w:r>
          </w:p>
        </w:tc>
        <w:tc>
          <w:tcPr>
            <w:tcW w:w="82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w:t>
            </w:r>
          </w:p>
        </w:tc>
        <w:tc>
          <w:tcPr>
            <w:tcW w:w="21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60</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75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7</w:t>
            </w:r>
          </w:p>
        </w:tc>
        <w:tc>
          <w:tcPr>
            <w:tcW w:w="26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固定天幕杆</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道</w:t>
            </w:r>
          </w:p>
        </w:tc>
        <w:tc>
          <w:tcPr>
            <w:tcW w:w="82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w:t>
            </w:r>
          </w:p>
        </w:tc>
        <w:tc>
          <w:tcPr>
            <w:tcW w:w="21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60</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75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8</w:t>
            </w:r>
          </w:p>
        </w:tc>
        <w:tc>
          <w:tcPr>
            <w:tcW w:w="26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固定侧光片</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套</w:t>
            </w:r>
          </w:p>
        </w:tc>
        <w:tc>
          <w:tcPr>
            <w:tcW w:w="82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w:t>
            </w:r>
          </w:p>
        </w:tc>
        <w:tc>
          <w:tcPr>
            <w:tcW w:w="21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80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480</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75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9</w:t>
            </w:r>
          </w:p>
        </w:tc>
        <w:tc>
          <w:tcPr>
            <w:tcW w:w="26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对开导轨</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道</w:t>
            </w:r>
          </w:p>
        </w:tc>
        <w:tc>
          <w:tcPr>
            <w:tcW w:w="82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5</w:t>
            </w:r>
          </w:p>
        </w:tc>
        <w:tc>
          <w:tcPr>
            <w:tcW w:w="21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155</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775</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75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10</w:t>
            </w:r>
          </w:p>
        </w:tc>
        <w:tc>
          <w:tcPr>
            <w:tcW w:w="26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灯杆升降系统</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套</w:t>
            </w:r>
          </w:p>
        </w:tc>
        <w:tc>
          <w:tcPr>
            <w:tcW w:w="82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9</w:t>
            </w:r>
          </w:p>
        </w:tc>
        <w:tc>
          <w:tcPr>
            <w:tcW w:w="21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230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2070</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75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11</w:t>
            </w:r>
          </w:p>
        </w:tc>
        <w:tc>
          <w:tcPr>
            <w:tcW w:w="26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幕布吊杆升降系统</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套</w:t>
            </w:r>
          </w:p>
        </w:tc>
        <w:tc>
          <w:tcPr>
            <w:tcW w:w="82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w:t>
            </w:r>
          </w:p>
        </w:tc>
        <w:tc>
          <w:tcPr>
            <w:tcW w:w="21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220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1320</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75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12</w:t>
            </w:r>
          </w:p>
        </w:tc>
        <w:tc>
          <w:tcPr>
            <w:tcW w:w="26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会标吊杆升降系统</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套</w:t>
            </w:r>
          </w:p>
        </w:tc>
        <w:tc>
          <w:tcPr>
            <w:tcW w:w="82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w:t>
            </w:r>
          </w:p>
        </w:tc>
        <w:tc>
          <w:tcPr>
            <w:tcW w:w="21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220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220</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75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13</w:t>
            </w:r>
          </w:p>
        </w:tc>
        <w:tc>
          <w:tcPr>
            <w:tcW w:w="26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对开拉幕电动系统</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套</w:t>
            </w:r>
          </w:p>
        </w:tc>
        <w:tc>
          <w:tcPr>
            <w:tcW w:w="82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4</w:t>
            </w:r>
          </w:p>
        </w:tc>
        <w:tc>
          <w:tcPr>
            <w:tcW w:w="21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220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880</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75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14</w:t>
            </w:r>
          </w:p>
        </w:tc>
        <w:tc>
          <w:tcPr>
            <w:tcW w:w="26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无极调速大幕拉幕系统</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套</w:t>
            </w:r>
          </w:p>
        </w:tc>
        <w:tc>
          <w:tcPr>
            <w:tcW w:w="82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w:t>
            </w:r>
          </w:p>
        </w:tc>
        <w:tc>
          <w:tcPr>
            <w:tcW w:w="21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340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340</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75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15</w:t>
            </w:r>
          </w:p>
        </w:tc>
        <w:tc>
          <w:tcPr>
            <w:tcW w:w="26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强电控制柜</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路</w:t>
            </w:r>
          </w:p>
        </w:tc>
        <w:tc>
          <w:tcPr>
            <w:tcW w:w="82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42</w:t>
            </w:r>
          </w:p>
        </w:tc>
        <w:tc>
          <w:tcPr>
            <w:tcW w:w="21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60</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2520</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75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16</w:t>
            </w:r>
          </w:p>
        </w:tc>
        <w:tc>
          <w:tcPr>
            <w:tcW w:w="26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数字控台</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路</w:t>
            </w:r>
          </w:p>
        </w:tc>
        <w:tc>
          <w:tcPr>
            <w:tcW w:w="82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56</w:t>
            </w:r>
          </w:p>
        </w:tc>
        <w:tc>
          <w:tcPr>
            <w:tcW w:w="21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45</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2520</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3" w:hRule="atLeast"/>
        </w:trPr>
        <w:tc>
          <w:tcPr>
            <w:tcW w:w="7045"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合计</w:t>
            </w:r>
          </w:p>
        </w:tc>
        <w:tc>
          <w:tcPr>
            <w:tcW w:w="166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spacing w:line="360" w:lineRule="auto"/>
              <w:jc w:val="center"/>
              <w:textAlignment w:val="center"/>
              <w:rPr>
                <w:rFonts w:hint="eastAsia"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20900</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spacing w:line="360" w:lineRule="auto"/>
              <w:jc w:val="center"/>
              <w:rPr>
                <w:rFonts w:hint="eastAsia" w:ascii="仿宋" w:hAnsi="仿宋" w:eastAsia="仿宋" w:cs="仿宋"/>
                <w:i w:val="0"/>
                <w:color w:val="000000"/>
                <w:sz w:val="21"/>
                <w:szCs w:val="21"/>
                <w:u w:val="none"/>
              </w:rPr>
            </w:pPr>
          </w:p>
        </w:tc>
      </w:tr>
    </w:tbl>
    <w:p>
      <w:pPr>
        <w:spacing w:line="360" w:lineRule="auto"/>
        <w:ind w:right="-340" w:rightChars="-162"/>
        <w:jc w:val="center"/>
        <w:rPr>
          <w:rFonts w:hint="eastAsia" w:ascii="仿宋" w:hAnsi="仿宋" w:eastAsia="仿宋" w:cs="仿宋"/>
          <w:b/>
          <w:color w:val="auto"/>
          <w:sz w:val="21"/>
          <w:szCs w:val="21"/>
          <w:highlight w:val="none"/>
        </w:rPr>
        <w:sectPr>
          <w:pgSz w:w="11906" w:h="16838"/>
          <w:pgMar w:top="1440" w:right="1800" w:bottom="1440" w:left="1800" w:header="851" w:footer="992" w:gutter="0"/>
          <w:pgNumType w:fmt="decimal"/>
          <w:cols w:space="720" w:num="1"/>
          <w:docGrid w:type="lines" w:linePitch="312" w:charSpace="0"/>
        </w:sectPr>
      </w:pPr>
    </w:p>
    <w:p>
      <w:pPr>
        <w:spacing w:line="360" w:lineRule="auto"/>
        <w:ind w:right="-340" w:rightChars="-162"/>
        <w:jc w:val="center"/>
        <w:outlineLvl w:val="1"/>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标段16 电梯维保分项报价明细表</w:t>
      </w:r>
    </w:p>
    <w:tbl>
      <w:tblPr>
        <w:tblStyle w:val="9"/>
        <w:tblW w:w="5674" w:type="pct"/>
        <w:tblInd w:w="-58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40"/>
        <w:gridCol w:w="732"/>
        <w:gridCol w:w="895"/>
        <w:gridCol w:w="1217"/>
        <w:gridCol w:w="626"/>
        <w:gridCol w:w="689"/>
        <w:gridCol w:w="593"/>
        <w:gridCol w:w="683"/>
        <w:gridCol w:w="901"/>
        <w:gridCol w:w="864"/>
        <w:gridCol w:w="1260"/>
        <w:gridCol w:w="6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2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 xml:space="preserve"> 序号</w:t>
            </w:r>
          </w:p>
        </w:tc>
        <w:tc>
          <w:tcPr>
            <w:tcW w:w="3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梯号</w:t>
            </w:r>
          </w:p>
        </w:tc>
        <w:tc>
          <w:tcPr>
            <w:tcW w:w="4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类型</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型号</w:t>
            </w:r>
          </w:p>
        </w:tc>
        <w:tc>
          <w:tcPr>
            <w:tcW w:w="3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速度</w:t>
            </w:r>
            <w:r>
              <w:rPr>
                <w:rFonts w:hint="eastAsia" w:ascii="仿宋" w:hAnsi="仿宋" w:eastAsia="仿宋" w:cs="仿宋"/>
                <w:b/>
                <w:bCs/>
                <w:i w:val="0"/>
                <w:iCs w:val="0"/>
                <w:color w:val="000000"/>
                <w:kern w:val="0"/>
                <w:sz w:val="21"/>
                <w:szCs w:val="21"/>
                <w:u w:val="none"/>
                <w:lang w:val="en-US" w:eastAsia="zh-CN" w:bidi="ar"/>
              </w:rPr>
              <w:br w:type="textWrapping"/>
            </w:r>
            <w:r>
              <w:rPr>
                <w:rFonts w:hint="eastAsia" w:ascii="仿宋" w:hAnsi="仿宋" w:eastAsia="仿宋" w:cs="仿宋"/>
                <w:b/>
                <w:bCs/>
                <w:i w:val="0"/>
                <w:iCs w:val="0"/>
                <w:color w:val="000000"/>
                <w:kern w:val="0"/>
                <w:sz w:val="21"/>
                <w:szCs w:val="21"/>
                <w:u w:val="none"/>
                <w:lang w:val="en-US" w:eastAsia="zh-CN" w:bidi="ar"/>
              </w:rPr>
              <w:t>(m/s)</w:t>
            </w:r>
          </w:p>
        </w:tc>
        <w:tc>
          <w:tcPr>
            <w:tcW w:w="3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层站</w:t>
            </w:r>
            <w:r>
              <w:rPr>
                <w:rFonts w:hint="eastAsia" w:ascii="仿宋" w:hAnsi="仿宋" w:eastAsia="仿宋" w:cs="仿宋"/>
                <w:b/>
                <w:bCs/>
                <w:i w:val="0"/>
                <w:iCs w:val="0"/>
                <w:color w:val="000000"/>
                <w:kern w:val="0"/>
                <w:sz w:val="21"/>
                <w:szCs w:val="21"/>
                <w:u w:val="none"/>
                <w:lang w:val="en-US" w:eastAsia="zh-CN" w:bidi="ar"/>
              </w:rPr>
              <w:br w:type="textWrapping"/>
            </w:r>
            <w:r>
              <w:rPr>
                <w:rFonts w:hint="eastAsia" w:ascii="仿宋" w:hAnsi="仿宋" w:eastAsia="仿宋" w:cs="仿宋"/>
                <w:b/>
                <w:bCs/>
                <w:i w:val="0"/>
                <w:iCs w:val="0"/>
                <w:color w:val="000000"/>
                <w:kern w:val="0"/>
                <w:sz w:val="21"/>
                <w:szCs w:val="21"/>
                <w:u w:val="none"/>
                <w:lang w:val="en-US" w:eastAsia="zh-CN" w:bidi="ar"/>
              </w:rPr>
              <w:t>(站/门)</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数量</w:t>
            </w:r>
            <w:r>
              <w:rPr>
                <w:rFonts w:hint="eastAsia" w:ascii="仿宋" w:hAnsi="仿宋" w:eastAsia="仿宋" w:cs="仿宋"/>
                <w:b/>
                <w:bCs/>
                <w:i w:val="0"/>
                <w:iCs w:val="0"/>
                <w:color w:val="000000"/>
                <w:kern w:val="0"/>
                <w:sz w:val="21"/>
                <w:szCs w:val="21"/>
                <w:u w:val="none"/>
                <w:lang w:val="en-US" w:eastAsia="zh-CN" w:bidi="ar"/>
              </w:rPr>
              <w:br w:type="textWrapping"/>
            </w:r>
            <w:r>
              <w:rPr>
                <w:rFonts w:hint="eastAsia" w:ascii="仿宋" w:hAnsi="仿宋" w:eastAsia="仿宋" w:cs="仿宋"/>
                <w:b/>
                <w:bCs/>
                <w:i w:val="0"/>
                <w:iCs w:val="0"/>
                <w:color w:val="000000"/>
                <w:kern w:val="0"/>
                <w:sz w:val="21"/>
                <w:szCs w:val="21"/>
                <w:u w:val="none"/>
                <w:lang w:val="en-US" w:eastAsia="zh-CN" w:bidi="ar"/>
              </w:rPr>
              <w:t>(台)</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单价（元/部）</w:t>
            </w:r>
          </w:p>
        </w:tc>
        <w:tc>
          <w:tcPr>
            <w:tcW w:w="4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年度检测费</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总价（元/年）</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项目部门</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4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客梯</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ELCOSMO-V</w:t>
            </w:r>
          </w:p>
        </w:tc>
        <w:tc>
          <w:tcPr>
            <w:tcW w:w="3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8/8</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7500</w:t>
            </w:r>
          </w:p>
        </w:tc>
        <w:tc>
          <w:tcPr>
            <w:tcW w:w="4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1000</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8500</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3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4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客梯</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ELCOSMO-V</w:t>
            </w:r>
          </w:p>
        </w:tc>
        <w:tc>
          <w:tcPr>
            <w:tcW w:w="3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8/8</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7500</w:t>
            </w:r>
          </w:p>
        </w:tc>
        <w:tc>
          <w:tcPr>
            <w:tcW w:w="4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1000</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8500</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429" w:type="pct"/>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465"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4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17000</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4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客梯</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ELCOSMO-E</w:t>
            </w:r>
          </w:p>
        </w:tc>
        <w:tc>
          <w:tcPr>
            <w:tcW w:w="3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4/4</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4780</w:t>
            </w:r>
          </w:p>
        </w:tc>
        <w:tc>
          <w:tcPr>
            <w:tcW w:w="4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4780</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棋盘井供电公司</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3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4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客梯</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XO-MRLII</w:t>
            </w:r>
          </w:p>
        </w:tc>
        <w:tc>
          <w:tcPr>
            <w:tcW w:w="3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4/4</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4780</w:t>
            </w:r>
          </w:p>
        </w:tc>
        <w:tc>
          <w:tcPr>
            <w:tcW w:w="4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4780</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棋盘井供电公司</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429" w:type="pct"/>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465"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4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9560</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4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消防电梯</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NEXWAY-S</w:t>
            </w:r>
          </w:p>
        </w:tc>
        <w:tc>
          <w:tcPr>
            <w:tcW w:w="3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1.75</w:t>
            </w:r>
          </w:p>
        </w:tc>
        <w:tc>
          <w:tcPr>
            <w:tcW w:w="3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16/16</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6000</w:t>
            </w:r>
          </w:p>
        </w:tc>
        <w:tc>
          <w:tcPr>
            <w:tcW w:w="4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6000</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3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4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客梯</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NEXWAY-S</w:t>
            </w:r>
          </w:p>
        </w:tc>
        <w:tc>
          <w:tcPr>
            <w:tcW w:w="3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1.75</w:t>
            </w:r>
          </w:p>
        </w:tc>
        <w:tc>
          <w:tcPr>
            <w:tcW w:w="3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16/16</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6000</w:t>
            </w:r>
          </w:p>
        </w:tc>
        <w:tc>
          <w:tcPr>
            <w:tcW w:w="4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6000</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3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3#-6#</w:t>
            </w:r>
          </w:p>
        </w:tc>
        <w:tc>
          <w:tcPr>
            <w:tcW w:w="4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客梯</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NEXWAY-S</w:t>
            </w:r>
          </w:p>
        </w:tc>
        <w:tc>
          <w:tcPr>
            <w:tcW w:w="3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1.75</w:t>
            </w:r>
          </w:p>
        </w:tc>
        <w:tc>
          <w:tcPr>
            <w:tcW w:w="3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15/15</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6000</w:t>
            </w:r>
          </w:p>
        </w:tc>
        <w:tc>
          <w:tcPr>
            <w:tcW w:w="4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24000</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3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8#-9#</w:t>
            </w:r>
          </w:p>
        </w:tc>
        <w:tc>
          <w:tcPr>
            <w:tcW w:w="4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无机房客梯</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ELENESSI</w:t>
            </w:r>
          </w:p>
        </w:tc>
        <w:tc>
          <w:tcPr>
            <w:tcW w:w="3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6/6</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6000</w:t>
            </w:r>
          </w:p>
        </w:tc>
        <w:tc>
          <w:tcPr>
            <w:tcW w:w="4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12000</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429" w:type="pct"/>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465"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4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48000</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2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4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曳引驱动乘客电梯</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通力电梯KONE MiniSpace</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PT13/16-19</w:t>
            </w:r>
          </w:p>
        </w:tc>
        <w:tc>
          <w:tcPr>
            <w:tcW w:w="3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w:t>
            </w:r>
          </w:p>
        </w:tc>
        <w:tc>
          <w:tcPr>
            <w:tcW w:w="3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13/13</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3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8450</w:t>
            </w:r>
          </w:p>
        </w:tc>
        <w:tc>
          <w:tcPr>
            <w:tcW w:w="4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3000</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19900</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429" w:type="pct"/>
            <w:gridSpan w:val="6"/>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306"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465"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44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19900</w:t>
            </w:r>
          </w:p>
        </w:tc>
        <w:tc>
          <w:tcPr>
            <w:tcW w:w="651"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47"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1#电梯</w:t>
            </w:r>
          </w:p>
        </w:tc>
        <w:tc>
          <w:tcPr>
            <w:tcW w:w="4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有机房客梯</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MAXIEZ</w:t>
            </w:r>
          </w:p>
        </w:tc>
        <w:tc>
          <w:tcPr>
            <w:tcW w:w="3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w:t>
            </w:r>
          </w:p>
        </w:tc>
        <w:tc>
          <w:tcPr>
            <w:tcW w:w="3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13/13</w:t>
            </w:r>
          </w:p>
        </w:tc>
        <w:tc>
          <w:tcPr>
            <w:tcW w:w="30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5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10500 </w:t>
            </w:r>
          </w:p>
        </w:tc>
        <w:tc>
          <w:tcPr>
            <w:tcW w:w="46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1569 </w:t>
            </w:r>
          </w:p>
        </w:tc>
        <w:tc>
          <w:tcPr>
            <w:tcW w:w="44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12069</w:t>
            </w:r>
          </w:p>
        </w:tc>
        <w:tc>
          <w:tcPr>
            <w:tcW w:w="65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347"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3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2#电梯</w:t>
            </w:r>
          </w:p>
        </w:tc>
        <w:tc>
          <w:tcPr>
            <w:tcW w:w="4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有机房客梯</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MAXIEZ</w:t>
            </w:r>
          </w:p>
        </w:tc>
        <w:tc>
          <w:tcPr>
            <w:tcW w:w="3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w:t>
            </w:r>
          </w:p>
        </w:tc>
        <w:tc>
          <w:tcPr>
            <w:tcW w:w="3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12/12</w:t>
            </w:r>
          </w:p>
        </w:tc>
        <w:tc>
          <w:tcPr>
            <w:tcW w:w="30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5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9500 </w:t>
            </w:r>
          </w:p>
        </w:tc>
        <w:tc>
          <w:tcPr>
            <w:tcW w:w="46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1448 </w:t>
            </w:r>
          </w:p>
        </w:tc>
        <w:tc>
          <w:tcPr>
            <w:tcW w:w="44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10948</w:t>
            </w:r>
          </w:p>
        </w:tc>
        <w:tc>
          <w:tcPr>
            <w:tcW w:w="65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347"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3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3#电梯</w:t>
            </w:r>
          </w:p>
        </w:tc>
        <w:tc>
          <w:tcPr>
            <w:tcW w:w="4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无机房客梯</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PMF-011S-1</w:t>
            </w:r>
          </w:p>
        </w:tc>
        <w:tc>
          <w:tcPr>
            <w:tcW w:w="3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4/4</w:t>
            </w:r>
          </w:p>
        </w:tc>
        <w:tc>
          <w:tcPr>
            <w:tcW w:w="30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5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3000 </w:t>
            </w:r>
          </w:p>
        </w:tc>
        <w:tc>
          <w:tcPr>
            <w:tcW w:w="46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483 </w:t>
            </w:r>
          </w:p>
        </w:tc>
        <w:tc>
          <w:tcPr>
            <w:tcW w:w="44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3483</w:t>
            </w:r>
          </w:p>
        </w:tc>
        <w:tc>
          <w:tcPr>
            <w:tcW w:w="65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347"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429" w:type="pct"/>
            <w:gridSpan w:val="6"/>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306"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465"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44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26500</w:t>
            </w:r>
          </w:p>
        </w:tc>
        <w:tc>
          <w:tcPr>
            <w:tcW w:w="651"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47"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429" w:type="pct"/>
            <w:gridSpan w:val="6"/>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合计</w:t>
            </w:r>
          </w:p>
        </w:tc>
        <w:tc>
          <w:tcPr>
            <w:tcW w:w="306"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465"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44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120960</w:t>
            </w:r>
          </w:p>
        </w:tc>
        <w:tc>
          <w:tcPr>
            <w:tcW w:w="651"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47"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0" w:type="pct"/>
            <w:gridSpan w:val="1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left"/>
              <w:textAlignment w:val="center"/>
              <w:rPr>
                <w:rFonts w:hint="eastAsia"/>
                <w:lang w:val="en-US" w:eastAsia="zh-CN"/>
              </w:rPr>
            </w:pPr>
            <w:r>
              <w:rPr>
                <w:rFonts w:hint="eastAsia"/>
                <w:lang w:val="en-US" w:eastAsia="zh-CN"/>
              </w:rPr>
              <w:t>各地区电梯维保明细见合同</w:t>
            </w:r>
          </w:p>
          <w:p>
            <w:pPr>
              <w:pStyle w:val="2"/>
              <w:rPr>
                <w:rFonts w:hint="eastAsia"/>
              </w:rPr>
            </w:pPr>
            <w:r>
              <w:rPr>
                <w:rFonts w:hint="eastAsia"/>
                <w:b/>
                <w:bCs/>
                <w:lang w:val="en-US" w:eastAsia="zh-CN"/>
              </w:rPr>
              <w:t>特别注意※本项目涉及偏远地区，若发生突发情况，供应商需在1小时内到达现场。</w:t>
            </w:r>
          </w:p>
        </w:tc>
      </w:tr>
    </w:tbl>
    <w:p>
      <w:pPr>
        <w:pStyle w:val="2"/>
        <w:spacing w:line="360" w:lineRule="auto"/>
        <w:rPr>
          <w:rFonts w:hint="eastAsia" w:ascii="仿宋" w:hAnsi="仿宋" w:eastAsia="仿宋" w:cs="仿宋"/>
          <w:sz w:val="21"/>
          <w:szCs w:val="21"/>
          <w:lang w:val="en-US" w:eastAsia="zh-CN"/>
        </w:rPr>
        <w:sectPr>
          <w:pgSz w:w="11906" w:h="16838"/>
          <w:pgMar w:top="1440" w:right="1800" w:bottom="1440" w:left="1800" w:header="851" w:footer="992" w:gutter="0"/>
          <w:pgNumType w:fmt="decimal"/>
          <w:cols w:space="720" w:num="1"/>
          <w:docGrid w:type="lines" w:linePitch="312" w:charSpace="0"/>
        </w:sectPr>
      </w:pPr>
    </w:p>
    <w:p>
      <w:pPr>
        <w:spacing w:line="360" w:lineRule="auto"/>
        <w:ind w:right="-340" w:rightChars="-162"/>
        <w:jc w:val="center"/>
        <w:outlineLvl w:val="1"/>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标段17 空调维保分项报价明细表</w:t>
      </w:r>
    </w:p>
    <w:tbl>
      <w:tblPr>
        <w:tblStyle w:val="9"/>
        <w:tblW w:w="5660" w:type="pct"/>
        <w:tblInd w:w="-48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6"/>
        <w:gridCol w:w="1758"/>
        <w:gridCol w:w="1212"/>
        <w:gridCol w:w="1674"/>
        <w:gridCol w:w="426"/>
        <w:gridCol w:w="426"/>
        <w:gridCol w:w="745"/>
        <w:gridCol w:w="953"/>
        <w:gridCol w:w="1404"/>
        <w:gridCol w:w="6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序号</w:t>
            </w:r>
          </w:p>
        </w:tc>
        <w:tc>
          <w:tcPr>
            <w:tcW w:w="91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所在区域</w:t>
            </w:r>
          </w:p>
        </w:tc>
        <w:tc>
          <w:tcPr>
            <w:tcW w:w="62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项目名称</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规格</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单位</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数量</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单价（元）</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总价（元）</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项目部门</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鄂托克供电公司生产调度楼(8楼层)中央空调27台(富士通空调)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生产调度楼(8楼层)中央空调27台(富士通空调)</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27</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156.44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4224</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鄂托克供电公司生产调度楼(8楼层)中央空调27台(富士通空调)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清洗多联主机</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70.00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700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鄂托克供电公司生产调度楼(8楼层)中央空调27台(富士通空调)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检查制冷系统冷冻油及制冷剂充值量</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70.00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2170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鄂托克供电公司生产调度楼(8楼层)中央空调27台(富士通空调)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测试压缩机电机及冷却风机绝缘强度</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160.00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1600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鄂托克供电公司生产调度楼(8楼层)中央空调27台(富士通空调)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管道保温及敷设检查及更换</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27</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64.00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1728</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鄂托克供电公司生产调度楼(8楼层)中央空调27台(富士通空调)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清洗外机外表和外机固件</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46.00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138</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鄂托克供电公司生产调度楼(8楼层)中央空调27台(富士通空调)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配电箱控制柜线路检查及维护</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230</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24.00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5520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鄂托克供电公司生产调度楼(8楼层)中央空调27台(富士通空调)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清洗室内机滤网及保温</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96.00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960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鄂托克供电公司生产调度楼(8楼层)中央空调27台(富士通空调)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检查调试空调系统机组控制点及设置点</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96.00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960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鄂托克供电公司生产调度楼(8楼层)中央空调27台(富士通空调)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检查温度传感器电压和电阻精确度</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230</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24.00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5520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鄂托克供电公司生产调度楼(8楼层)中央空调27台(富士通空调)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清洗内机外表和内机固件及风口输出温度</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27</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160.00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4320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鄂托克供电公司赛乌素供电所(3楼层)中央格力空调</w:t>
            </w:r>
          </w:p>
        </w:tc>
        <w:tc>
          <w:tcPr>
            <w:tcW w:w="62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清洗多联主机</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160.00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640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鄂托克供电公司赛乌素供电所(3楼层)中央格力空调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检查制冷系统冷冻油及制冷剂充值量</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64.00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192</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鄂托克供电公司赛乌素供电所(3楼层)中央格力空调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测试压缩机电机及冷却风机绝缘强度</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64.00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1280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鄂托克供电公司赛乌素供电所(3楼层)中央格力空调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管道保温及敷设检查及更换</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160.00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480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鄂托克供电公司赛乌素供电所(3楼层)中央格力空调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清洗外机外表和外机固件</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64.00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192</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17</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鄂托克供电公司赛乌素供电所(3楼层)中央格力空调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配电箱控制柜线路检查及维护</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46.00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46</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鄂托克供电公司赛乌素供电所(3楼层)中央格力空调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清洗室内机滤网及保温</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24.00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480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鄂托克供电公司赛乌素供电所(3楼层)中央格力空调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检查调试空调系统机组控制点及设置点</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96.00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288</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鄂托克供电公司赛乌素供电所(3楼层)中央格力空调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检查温度传感器电压和电阻精确度</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96.00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1920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鄂托克供电公司赛乌素供电所(3楼层)中央格力空调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清洗内机外表和内机固件及风口输出温度</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24.00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480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鄂托克供电公司赛乌素供电所(3楼层)中央格力空调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远程调试费</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次</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136.00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1632</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23</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鄂托克供电公司赛乌素供电所(3楼层)中央格力空调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清洗多联主机</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160.00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640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鄂托克供电公司赛乌素供电所(3楼层)中央格力空调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检查制冷系统冷冻油及制冷剂充值量</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64.00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192</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鄂托克供电公司赛乌素供电所(3楼层)中央格力空调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测试压缩机电机及冷却风机绝缘强度</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64.00 </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1280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鄂托克供电公司</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627"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220"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86"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37582</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东胜供电公司空调维保</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空调柜机压缩机加液</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格力KFR-120LW/E(1253L)V-SN5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格力KFR-120LW/E(1253L)V-SN5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志高KFR-120LW/B(B22A)+2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格力KFR-72LW(72569)Ba-3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格力KFR-120LW/E(1253L)V-SN5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海尔统帅KFR-72LW/01CCC12T</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志高KFR-120LW/B(B22A)+2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格力KFR-120LW/E(1253L)V-SN5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格力KFR-120LW/E(1253L)V-SN5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志高KFR-120LW/B(B22A)+2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格力KFR-120LW/E(12568L)A1-N2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格力KFR-120LW/(12568S)NhAc-3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海尔KFRD-125LW/50BAC13</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469</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6097</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东胜供电公司空调维保</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空调柜机过滤网清洗</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格力KFR-120LW/E(1253L)V-SN5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格力KFR-120LW/E(1253L)V-SN5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志高KFR-120LW/B(B22A)+2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格力KFR-72LW(72569)Ba-3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格力KFR-120LW/E(1253L)V-SN5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海尔统帅KFR-72LW/01CCC12T</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志高KFR-120LW/B(B22A)+2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格力KFR-120LW/E(1253L)V-SN5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格力KFR-120LW/E(1253L)V-SN5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志高KFR-120LW/B(B22A)+2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格力KFR-120LW/E(12568L)A1-N2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格力KFR-120LW/(12568S)NhAc-3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海尔KFRD-125LW/50BAC13</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300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3900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东胜供电公司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627"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220"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86"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9997</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91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空调及新风系统维护保养</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过滤器</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KH45LE120</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油过滤器</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02XR05006201</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920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1840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油回收过滤器</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KH42ME060</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冷媒过滤器</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KH11NG070</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45</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油泵体连接O环</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KK71EW268</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多得利制冷剂</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REF-134K3</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桶</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270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2700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冷冻油(19升1桶)</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PP23BZ103005C（离心）</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桶</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1875</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11250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冷凝器水室垫片</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09XR05007001</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225</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450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冷凝器化学清洗</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2250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4500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蒸发器清洗</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2000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4000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人工费</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人</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1840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3680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91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空调及新风系统维护保养</w:t>
            </w:r>
          </w:p>
        </w:tc>
        <w:tc>
          <w:tcPr>
            <w:tcW w:w="62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组合式空调柜30000m³/h</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表冷器维修</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13200 </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电机维修</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507</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5577 </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风柜清洗</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360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3960 </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w:t>
            </w:r>
          </w:p>
        </w:tc>
        <w:tc>
          <w:tcPr>
            <w:tcW w:w="91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62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过滤网</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114</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1254.00 </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综合事务中心</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627"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220"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86"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52941</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91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多联机空调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空调外机型号：MDV-615/D2SN1，空调内机型号：MDV-D112T2/N1-C3(B)</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外机清洗</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2980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2980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调度管理处</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911"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添加制冷剂</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4300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4300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调度管理处</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911"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冷媒管路保温修补</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2650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2650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调度管理处</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911"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元器件检测</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3120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3120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调度管理处</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911"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冷凝排水系统检测</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1800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1800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调度管理处</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911"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制冷系统检测</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3860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3860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调度管理处</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911"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检查并紧固设备固定螺丝及支架</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650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650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调度管理处</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91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新风系统</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XFHQ-20DZ/S-B</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滤网更换</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3280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3280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调度管理处</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911"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风口清洗</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2140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2140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调度管理处</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911"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风速及主机连线检测</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2500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2500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调度管理处</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911"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管道气密性检测</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2180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2180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调度管理处</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911"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风机皮带检查</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540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540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调度管理处</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627"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仿宋" w:hAnsi="仿宋" w:eastAsia="仿宋" w:cs="仿宋"/>
                <w:b/>
                <w:bCs/>
                <w:i w:val="0"/>
                <w:iCs w:val="0"/>
                <w:color w:val="000000"/>
                <w:sz w:val="21"/>
                <w:szCs w:val="21"/>
                <w:u w:val="none"/>
              </w:rPr>
            </w:pPr>
          </w:p>
        </w:tc>
        <w:tc>
          <w:tcPr>
            <w:tcW w:w="220"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86"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30000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91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螺杆机</w:t>
            </w:r>
          </w:p>
        </w:tc>
        <w:tc>
          <w:tcPr>
            <w:tcW w:w="62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冷凝器除垢</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3603</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3603</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91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冷却塔</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疏水膜除垢</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525</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525</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91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 风机盘管</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冷却管道清洗</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525</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525</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过滤器清洗</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308</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616</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风口清洗</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对</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42</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66</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2772</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过滤器清洗</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42</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54</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2268</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风扇叶轮清洗</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对</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42</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75</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3150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表冷器翅片清洗</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42</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96</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4032</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91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数码变频室外机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翅片清洗</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632</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6320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氟利昂</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公斤</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70</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5600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清洗多联主机</w:t>
            </w:r>
          </w:p>
        </w:tc>
        <w:tc>
          <w:tcPr>
            <w:tcW w:w="62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组</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515</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5150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清洗外机外表和外机固件</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组</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2100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清洗室内机滤网及保温</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214</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38</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8132</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多联主机检查及焊接</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处</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159</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477</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w:t>
            </w:r>
          </w:p>
        </w:tc>
        <w:tc>
          <w:tcPr>
            <w:tcW w:w="9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基层供电所、班组空调</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立式、台式</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118</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137</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16166</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w:t>
            </w:r>
          </w:p>
        </w:tc>
        <w:tc>
          <w:tcPr>
            <w:tcW w:w="91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氮气</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瓶</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388</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2328</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17</w:t>
            </w:r>
          </w:p>
        </w:tc>
        <w:tc>
          <w:tcPr>
            <w:tcW w:w="91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补加氟利昂</w:t>
            </w:r>
          </w:p>
        </w:tc>
        <w:tc>
          <w:tcPr>
            <w:tcW w:w="62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450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1800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鄂托克前旗供电公司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627"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220"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86"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65564</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91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乌审供电公司生产调度楼中央空调维保</w:t>
            </w:r>
          </w:p>
        </w:tc>
        <w:tc>
          <w:tcPr>
            <w:tcW w:w="62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冷凝器化学清洗</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3390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3390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蒸发器清洗</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2260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2260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更换压缩机油滤</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1536.8</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1536.8</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干燥滤芯</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1627.2</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1627.2</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冷冻油（103）</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桶</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4520</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4520</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补充氟利昂</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瓶</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3051</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3051</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风机盘管维修</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2599</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2599</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空调控制面板</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30</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847.5</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847.5</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压力表1.6mpa</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块</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395.5</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395.5</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风机软连接进出水管</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根</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452</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452</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911" w:type="pct"/>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运费/技术服务费</w:t>
            </w:r>
          </w:p>
        </w:tc>
        <w:tc>
          <w:tcPr>
            <w:tcW w:w="86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6306.38</w:t>
            </w: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6306.38</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乌审供电公司</w:t>
            </w: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627"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220"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86"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 xml:space="preserve">26985.38 </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627"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合计</w:t>
            </w:r>
          </w:p>
        </w:tc>
        <w:tc>
          <w:tcPr>
            <w:tcW w:w="220"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220"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86"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49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223069.38</w:t>
            </w:r>
          </w:p>
        </w:tc>
        <w:tc>
          <w:tcPr>
            <w:tcW w:w="727"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c>
          <w:tcPr>
            <w:tcW w:w="322" w:type="pct"/>
            <w:tcBorders>
              <w:top w:val="single" w:color="000000" w:sz="4" w:space="0"/>
              <w:left w:val="single" w:color="000000" w:sz="4" w:space="0"/>
              <w:bottom w:val="single" w:color="000000" w:sz="4" w:space="0"/>
              <w:right w:val="single" w:color="000000" w:sz="4" w:space="0"/>
            </w:tcBorders>
            <w:noWrap/>
            <w:vAlign w:val="center"/>
          </w:tcPr>
          <w:p>
            <w:pPr>
              <w:spacing w:line="360" w:lineRule="auto"/>
              <w:jc w:val="center"/>
              <w:rPr>
                <w:rFonts w:hint="eastAsia" w:ascii="仿宋" w:hAnsi="仿宋" w:eastAsia="仿宋" w:cs="仿宋"/>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5000" w:type="pct"/>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jc w:val="left"/>
              <w:textAlignment w:val="center"/>
              <w:rPr>
                <w:rFonts w:hint="eastAsia"/>
                <w:lang w:val="en-US" w:eastAsia="zh-CN"/>
              </w:rPr>
            </w:pPr>
            <w:r>
              <w:rPr>
                <w:rFonts w:hint="eastAsia"/>
                <w:lang w:val="en-US" w:eastAsia="zh-CN"/>
              </w:rPr>
              <w:t>供应商负责进行全面、规范、有计划的预防性维保服务，确保空调维保工作到位，保障空调系统设备的安全可靠运行，在维护保养过程中发现任何异常情况或故障问题必须进行及时处理和故障排除，确保空调设备始终处于完好状态。</w:t>
            </w:r>
          </w:p>
          <w:p>
            <w:pPr>
              <w:pStyle w:val="2"/>
              <w:rPr>
                <w:rFonts w:hint="eastAsia"/>
              </w:rPr>
            </w:pPr>
            <w:r>
              <w:rPr>
                <w:rFonts w:hint="eastAsia"/>
                <w:b/>
                <w:bCs/>
                <w:lang w:val="en-US" w:eastAsia="zh-CN"/>
              </w:rPr>
              <w:t>特别注意※本项目涉及偏远地区，若发生突发情况，供应商需在2小时内到达现场。</w:t>
            </w:r>
            <w:bookmarkStart w:id="0" w:name="_GoBack"/>
            <w:bookmarkEnd w:id="0"/>
          </w:p>
        </w:tc>
      </w:tr>
    </w:tbl>
    <w:p>
      <w:pPr>
        <w:spacing w:line="360" w:lineRule="auto"/>
        <w:rPr>
          <w:rFonts w:hint="eastAsia" w:ascii="仿宋" w:hAnsi="仿宋" w:eastAsia="仿宋" w:cs="仿宋"/>
          <w:sz w:val="21"/>
          <w:szCs w:val="21"/>
          <w:lang w:val="en-US" w:eastAsia="zh-CN"/>
        </w:rPr>
        <w:sectPr>
          <w:pgSz w:w="11906" w:h="16838"/>
          <w:pgMar w:top="1440" w:right="1800" w:bottom="1440" w:left="1800" w:header="851" w:footer="992" w:gutter="0"/>
          <w:pgNumType w:fmt="decimal"/>
          <w:cols w:space="720" w:num="1"/>
          <w:docGrid w:type="lines" w:linePitch="312" w:charSpace="0"/>
        </w:sectPr>
      </w:pPr>
    </w:p>
    <w:p>
      <w:pPr>
        <w:spacing w:line="360" w:lineRule="auto"/>
        <w:ind w:right="-340" w:rightChars="-162"/>
        <w:jc w:val="center"/>
        <w:outlineLvl w:val="1"/>
        <w:rPr>
          <w:rFonts w:hint="eastAsia" w:ascii="仿宋" w:hAnsi="仿宋" w:eastAsia="仿宋" w:cs="仿宋"/>
          <w:b/>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标段19 净水设备维保分项报价明细表</w:t>
      </w:r>
    </w:p>
    <w:tbl>
      <w:tblPr>
        <w:tblStyle w:val="9"/>
        <w:tblW w:w="9602" w:type="dxa"/>
        <w:jc w:val="center"/>
        <w:tblLayout w:type="fixed"/>
        <w:tblCellMar>
          <w:top w:w="0" w:type="dxa"/>
          <w:left w:w="0" w:type="dxa"/>
          <w:bottom w:w="0" w:type="dxa"/>
          <w:right w:w="0" w:type="dxa"/>
        </w:tblCellMar>
      </w:tblPr>
      <w:tblGrid>
        <w:gridCol w:w="670"/>
        <w:gridCol w:w="1930"/>
        <w:gridCol w:w="1615"/>
        <w:gridCol w:w="670"/>
        <w:gridCol w:w="670"/>
        <w:gridCol w:w="670"/>
        <w:gridCol w:w="993"/>
        <w:gridCol w:w="2384"/>
      </w:tblGrid>
      <w:tr>
        <w:tblPrEx>
          <w:tblCellMar>
            <w:top w:w="0" w:type="dxa"/>
            <w:left w:w="0" w:type="dxa"/>
            <w:bottom w:w="0" w:type="dxa"/>
            <w:right w:w="0" w:type="dxa"/>
          </w:tblCellMar>
        </w:tblPrEx>
        <w:trPr>
          <w:trHeight w:val="936" w:hRule="atLeast"/>
          <w:jc w:val="center"/>
        </w:trPr>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b/>
                <w:bCs/>
                <w:color w:val="000000"/>
                <w:sz w:val="21"/>
                <w:szCs w:val="21"/>
              </w:rPr>
            </w:pPr>
            <w:r>
              <w:rPr>
                <w:rFonts w:hint="eastAsia" w:ascii="仿宋" w:hAnsi="仿宋" w:eastAsia="仿宋" w:cs="仿宋"/>
                <w:b/>
                <w:bCs/>
                <w:color w:val="000000"/>
                <w:kern w:val="0"/>
                <w:sz w:val="21"/>
                <w:szCs w:val="21"/>
                <w:lang w:bidi="ar"/>
              </w:rPr>
              <w:t>序号</w:t>
            </w:r>
          </w:p>
        </w:tc>
        <w:tc>
          <w:tcPr>
            <w:tcW w:w="1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b/>
                <w:bCs/>
                <w:color w:val="000000"/>
                <w:sz w:val="21"/>
                <w:szCs w:val="21"/>
              </w:rPr>
            </w:pPr>
            <w:r>
              <w:rPr>
                <w:rFonts w:hint="eastAsia" w:ascii="仿宋" w:hAnsi="仿宋" w:eastAsia="仿宋" w:cs="仿宋"/>
                <w:b/>
                <w:bCs/>
                <w:color w:val="000000"/>
                <w:kern w:val="0"/>
                <w:sz w:val="21"/>
                <w:szCs w:val="21"/>
                <w:lang w:bidi="ar"/>
              </w:rPr>
              <w:t>名称</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b/>
                <w:bCs/>
                <w:color w:val="000000"/>
                <w:sz w:val="21"/>
                <w:szCs w:val="21"/>
              </w:rPr>
            </w:pPr>
            <w:r>
              <w:rPr>
                <w:rFonts w:hint="eastAsia" w:ascii="仿宋" w:hAnsi="仿宋" w:eastAsia="仿宋" w:cs="仿宋"/>
                <w:b/>
                <w:bCs/>
                <w:color w:val="000000"/>
                <w:kern w:val="0"/>
                <w:sz w:val="21"/>
                <w:szCs w:val="21"/>
                <w:lang w:bidi="ar"/>
              </w:rPr>
              <w:t>周期</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b/>
                <w:bCs/>
                <w:color w:val="000000"/>
                <w:sz w:val="21"/>
                <w:szCs w:val="21"/>
              </w:rPr>
            </w:pPr>
            <w:r>
              <w:rPr>
                <w:rFonts w:hint="eastAsia" w:ascii="仿宋" w:hAnsi="仿宋" w:eastAsia="仿宋" w:cs="仿宋"/>
                <w:b/>
                <w:bCs/>
                <w:color w:val="000000"/>
                <w:kern w:val="0"/>
                <w:sz w:val="21"/>
                <w:szCs w:val="21"/>
                <w:lang w:bidi="ar"/>
              </w:rPr>
              <w:t>数量</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b/>
                <w:bCs/>
                <w:color w:val="000000"/>
                <w:sz w:val="21"/>
                <w:szCs w:val="21"/>
              </w:rPr>
            </w:pPr>
            <w:r>
              <w:rPr>
                <w:rFonts w:hint="eastAsia" w:ascii="仿宋" w:hAnsi="仿宋" w:eastAsia="仿宋" w:cs="仿宋"/>
                <w:b/>
                <w:bCs/>
                <w:color w:val="000000"/>
                <w:kern w:val="0"/>
                <w:sz w:val="21"/>
                <w:szCs w:val="21"/>
                <w:lang w:bidi="ar"/>
              </w:rPr>
              <w:t>单位</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b/>
                <w:bCs/>
                <w:color w:val="000000"/>
                <w:sz w:val="21"/>
                <w:szCs w:val="21"/>
                <w:lang w:val="en-US" w:eastAsia="zh-CN"/>
              </w:rPr>
            </w:pPr>
            <w:r>
              <w:rPr>
                <w:rFonts w:hint="eastAsia" w:ascii="仿宋" w:hAnsi="仿宋" w:eastAsia="仿宋" w:cs="仿宋"/>
                <w:b/>
                <w:bCs/>
                <w:color w:val="000000"/>
                <w:kern w:val="0"/>
                <w:sz w:val="21"/>
                <w:szCs w:val="21"/>
                <w:lang w:val="en-US" w:eastAsia="zh-CN" w:bidi="ar"/>
              </w:rPr>
              <w:t>预算</w:t>
            </w:r>
            <w:r>
              <w:rPr>
                <w:rFonts w:hint="eastAsia" w:ascii="仿宋" w:hAnsi="仿宋" w:eastAsia="仿宋" w:cs="仿宋"/>
                <w:b/>
                <w:bCs/>
                <w:color w:val="000000"/>
                <w:kern w:val="0"/>
                <w:sz w:val="21"/>
                <w:szCs w:val="21"/>
                <w:lang w:bidi="ar"/>
              </w:rPr>
              <w:t>单价</w:t>
            </w:r>
            <w:r>
              <w:rPr>
                <w:rFonts w:hint="eastAsia" w:ascii="仿宋" w:hAnsi="仿宋" w:eastAsia="仿宋" w:cs="仿宋"/>
                <w:b/>
                <w:bCs/>
                <w:color w:val="000000"/>
                <w:kern w:val="0"/>
                <w:sz w:val="21"/>
                <w:szCs w:val="21"/>
                <w:lang w:eastAsia="zh-CN" w:bidi="ar"/>
              </w:rPr>
              <w:t>（</w:t>
            </w:r>
            <w:r>
              <w:rPr>
                <w:rFonts w:hint="eastAsia" w:ascii="仿宋" w:hAnsi="仿宋" w:eastAsia="仿宋" w:cs="仿宋"/>
                <w:b/>
                <w:bCs/>
                <w:color w:val="000000"/>
                <w:kern w:val="0"/>
                <w:sz w:val="21"/>
                <w:szCs w:val="21"/>
                <w:lang w:val="en-US" w:eastAsia="zh-CN" w:bidi="ar"/>
              </w:rPr>
              <w:t>元</w:t>
            </w:r>
            <w:r>
              <w:rPr>
                <w:rFonts w:hint="eastAsia" w:ascii="仿宋" w:hAnsi="仿宋" w:eastAsia="仿宋" w:cs="仿宋"/>
                <w:b/>
                <w:bCs/>
                <w:color w:val="000000"/>
                <w:kern w:val="0"/>
                <w:sz w:val="21"/>
                <w:szCs w:val="21"/>
                <w:lang w:eastAsia="zh-CN" w:bidi="ar"/>
              </w:rPr>
              <w:t>）</w:t>
            </w:r>
          </w:p>
        </w:tc>
        <w:tc>
          <w:tcPr>
            <w:tcW w:w="9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b/>
                <w:bCs/>
                <w:color w:val="000000"/>
                <w:sz w:val="21"/>
                <w:szCs w:val="21"/>
                <w:lang w:eastAsia="zh-CN"/>
              </w:rPr>
            </w:pPr>
            <w:r>
              <w:rPr>
                <w:rFonts w:hint="eastAsia" w:ascii="仿宋" w:hAnsi="仿宋" w:eastAsia="仿宋" w:cs="仿宋"/>
                <w:b/>
                <w:bCs/>
                <w:color w:val="000000"/>
                <w:kern w:val="0"/>
                <w:sz w:val="21"/>
                <w:szCs w:val="21"/>
                <w:lang w:val="en-US" w:eastAsia="zh-CN" w:bidi="ar"/>
              </w:rPr>
              <w:t>预算总价</w:t>
            </w:r>
            <w:r>
              <w:rPr>
                <w:rFonts w:hint="eastAsia" w:ascii="仿宋" w:hAnsi="仿宋" w:eastAsia="仿宋" w:cs="仿宋"/>
                <w:b/>
                <w:bCs/>
                <w:color w:val="000000"/>
                <w:kern w:val="0"/>
                <w:sz w:val="21"/>
                <w:szCs w:val="21"/>
                <w:lang w:eastAsia="zh-CN" w:bidi="ar"/>
              </w:rPr>
              <w:t>（</w:t>
            </w:r>
            <w:r>
              <w:rPr>
                <w:rFonts w:hint="eastAsia" w:ascii="仿宋" w:hAnsi="仿宋" w:eastAsia="仿宋" w:cs="仿宋"/>
                <w:b/>
                <w:bCs/>
                <w:color w:val="000000"/>
                <w:kern w:val="0"/>
                <w:sz w:val="21"/>
                <w:szCs w:val="21"/>
                <w:lang w:val="en-US" w:eastAsia="zh-CN" w:bidi="ar"/>
              </w:rPr>
              <w:t>元</w:t>
            </w:r>
            <w:r>
              <w:rPr>
                <w:rFonts w:hint="eastAsia" w:ascii="仿宋" w:hAnsi="仿宋" w:eastAsia="仿宋" w:cs="仿宋"/>
                <w:b/>
                <w:bCs/>
                <w:color w:val="000000"/>
                <w:kern w:val="0"/>
                <w:sz w:val="21"/>
                <w:szCs w:val="21"/>
                <w:lang w:eastAsia="zh-CN" w:bidi="ar"/>
              </w:rPr>
              <w:t>）</w:t>
            </w:r>
          </w:p>
        </w:tc>
        <w:tc>
          <w:tcPr>
            <w:tcW w:w="23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b/>
                <w:bCs/>
                <w:color w:val="000000"/>
                <w:sz w:val="21"/>
                <w:szCs w:val="21"/>
              </w:rPr>
            </w:pPr>
            <w:r>
              <w:rPr>
                <w:rFonts w:hint="eastAsia" w:ascii="仿宋" w:hAnsi="仿宋" w:eastAsia="仿宋" w:cs="仿宋"/>
                <w:b/>
                <w:bCs/>
                <w:color w:val="000000"/>
                <w:kern w:val="0"/>
                <w:sz w:val="21"/>
                <w:szCs w:val="21"/>
                <w:lang w:bidi="ar"/>
              </w:rPr>
              <w:t>备注</w:t>
            </w:r>
          </w:p>
        </w:tc>
      </w:tr>
      <w:tr>
        <w:tblPrEx>
          <w:tblCellMar>
            <w:top w:w="0" w:type="dxa"/>
            <w:left w:w="0" w:type="dxa"/>
            <w:bottom w:w="0" w:type="dxa"/>
            <w:right w:w="0" w:type="dxa"/>
          </w:tblCellMar>
        </w:tblPrEx>
        <w:trPr>
          <w:trHeight w:val="936" w:hRule="atLeast"/>
          <w:jc w:val="center"/>
        </w:trPr>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1</w:t>
            </w:r>
          </w:p>
        </w:tc>
        <w:tc>
          <w:tcPr>
            <w:tcW w:w="1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水箱清洗</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全年</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kern w:val="0"/>
                <w:sz w:val="21"/>
                <w:szCs w:val="21"/>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次</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sz w:val="21"/>
                <w:szCs w:val="21"/>
              </w:rPr>
              <w:t>800</w:t>
            </w:r>
          </w:p>
        </w:tc>
        <w:tc>
          <w:tcPr>
            <w:tcW w:w="9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1600</w:t>
            </w:r>
          </w:p>
        </w:tc>
        <w:tc>
          <w:tcPr>
            <w:tcW w:w="23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原水箱</w:t>
            </w:r>
          </w:p>
        </w:tc>
      </w:tr>
      <w:tr>
        <w:tblPrEx>
          <w:tblCellMar>
            <w:top w:w="0" w:type="dxa"/>
            <w:left w:w="0" w:type="dxa"/>
            <w:bottom w:w="0" w:type="dxa"/>
            <w:right w:w="0" w:type="dxa"/>
          </w:tblCellMar>
        </w:tblPrEx>
        <w:trPr>
          <w:trHeight w:val="936" w:hRule="atLeast"/>
          <w:jc w:val="center"/>
        </w:trPr>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2</w:t>
            </w:r>
          </w:p>
        </w:tc>
        <w:tc>
          <w:tcPr>
            <w:tcW w:w="1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流量计清洗</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全年</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4</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套</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sz w:val="21"/>
                <w:szCs w:val="21"/>
              </w:rPr>
              <w:t>100</w:t>
            </w:r>
          </w:p>
        </w:tc>
        <w:tc>
          <w:tcPr>
            <w:tcW w:w="9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4</w:t>
            </w:r>
            <w:r>
              <w:rPr>
                <w:rFonts w:hint="eastAsia" w:ascii="仿宋" w:hAnsi="仿宋" w:eastAsia="仿宋" w:cs="仿宋"/>
                <w:color w:val="000000"/>
                <w:sz w:val="21"/>
                <w:szCs w:val="21"/>
              </w:rPr>
              <w:t>00</w:t>
            </w:r>
          </w:p>
        </w:tc>
        <w:tc>
          <w:tcPr>
            <w:tcW w:w="23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360" w:lineRule="auto"/>
              <w:jc w:val="center"/>
              <w:rPr>
                <w:rFonts w:hint="eastAsia" w:ascii="仿宋" w:hAnsi="仿宋" w:eastAsia="仿宋" w:cs="仿宋"/>
                <w:color w:val="000000"/>
                <w:sz w:val="21"/>
                <w:szCs w:val="21"/>
              </w:rPr>
            </w:pPr>
          </w:p>
        </w:tc>
      </w:tr>
      <w:tr>
        <w:tblPrEx>
          <w:tblCellMar>
            <w:top w:w="0" w:type="dxa"/>
            <w:left w:w="0" w:type="dxa"/>
            <w:bottom w:w="0" w:type="dxa"/>
            <w:right w:w="0" w:type="dxa"/>
          </w:tblCellMar>
        </w:tblPrEx>
        <w:trPr>
          <w:trHeight w:val="936" w:hRule="atLeast"/>
          <w:jc w:val="center"/>
        </w:trPr>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3</w:t>
            </w:r>
          </w:p>
        </w:tc>
        <w:tc>
          <w:tcPr>
            <w:tcW w:w="1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20寸PP棉</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每季度2次</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kern w:val="0"/>
                <w:sz w:val="21"/>
                <w:szCs w:val="21"/>
                <w:lang w:val="en-US" w:eastAsia="zh-CN" w:bidi="ar"/>
              </w:rPr>
              <w:t>80</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支</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sz w:val="21"/>
                <w:szCs w:val="21"/>
              </w:rPr>
              <w:t>100</w:t>
            </w:r>
          </w:p>
        </w:tc>
        <w:tc>
          <w:tcPr>
            <w:tcW w:w="9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80</w:t>
            </w:r>
            <w:r>
              <w:rPr>
                <w:rFonts w:hint="eastAsia" w:ascii="仿宋" w:hAnsi="仿宋" w:eastAsia="仿宋" w:cs="仿宋"/>
                <w:color w:val="000000"/>
                <w:sz w:val="21"/>
                <w:szCs w:val="21"/>
              </w:rPr>
              <w:t>00</w:t>
            </w:r>
          </w:p>
        </w:tc>
        <w:tc>
          <w:tcPr>
            <w:tcW w:w="23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360" w:lineRule="auto"/>
              <w:jc w:val="center"/>
              <w:rPr>
                <w:rFonts w:hint="eastAsia" w:ascii="仿宋" w:hAnsi="仿宋" w:eastAsia="仿宋" w:cs="仿宋"/>
                <w:color w:val="000000"/>
                <w:sz w:val="21"/>
                <w:szCs w:val="21"/>
              </w:rPr>
            </w:pPr>
          </w:p>
        </w:tc>
      </w:tr>
      <w:tr>
        <w:tblPrEx>
          <w:tblCellMar>
            <w:top w:w="0" w:type="dxa"/>
            <w:left w:w="0" w:type="dxa"/>
            <w:bottom w:w="0" w:type="dxa"/>
            <w:right w:w="0" w:type="dxa"/>
          </w:tblCellMar>
        </w:tblPrEx>
        <w:trPr>
          <w:trHeight w:val="936" w:hRule="atLeast"/>
          <w:jc w:val="center"/>
        </w:trPr>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4</w:t>
            </w:r>
          </w:p>
        </w:tc>
        <w:tc>
          <w:tcPr>
            <w:tcW w:w="1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10寸PP棉</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每月</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kern w:val="0"/>
                <w:sz w:val="21"/>
                <w:szCs w:val="21"/>
                <w:lang w:val="en-US" w:eastAsia="zh-CN" w:bidi="ar"/>
              </w:rPr>
              <w:t>192</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支</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sz w:val="21"/>
                <w:szCs w:val="21"/>
              </w:rPr>
              <w:t>50</w:t>
            </w:r>
          </w:p>
        </w:tc>
        <w:tc>
          <w:tcPr>
            <w:tcW w:w="9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9600</w:t>
            </w:r>
          </w:p>
        </w:tc>
        <w:tc>
          <w:tcPr>
            <w:tcW w:w="23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360" w:lineRule="auto"/>
              <w:jc w:val="center"/>
              <w:rPr>
                <w:rFonts w:hint="eastAsia" w:ascii="仿宋" w:hAnsi="仿宋" w:eastAsia="仿宋" w:cs="仿宋"/>
                <w:color w:val="000000"/>
                <w:sz w:val="21"/>
                <w:szCs w:val="21"/>
              </w:rPr>
            </w:pPr>
          </w:p>
        </w:tc>
      </w:tr>
      <w:tr>
        <w:tblPrEx>
          <w:tblCellMar>
            <w:top w:w="0" w:type="dxa"/>
            <w:left w:w="0" w:type="dxa"/>
            <w:bottom w:w="0" w:type="dxa"/>
            <w:right w:w="0" w:type="dxa"/>
          </w:tblCellMar>
        </w:tblPrEx>
        <w:trPr>
          <w:trHeight w:val="936" w:hRule="atLeast"/>
          <w:jc w:val="center"/>
        </w:trPr>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5</w:t>
            </w:r>
          </w:p>
        </w:tc>
        <w:tc>
          <w:tcPr>
            <w:tcW w:w="1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软化盐</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360" w:lineRule="auto"/>
              <w:jc w:val="center"/>
              <w:rPr>
                <w:rFonts w:hint="eastAsia" w:ascii="仿宋" w:hAnsi="仿宋" w:eastAsia="仿宋" w:cs="仿宋"/>
                <w:color w:val="000000"/>
                <w:sz w:val="21"/>
                <w:szCs w:val="21"/>
              </w:rPr>
            </w:pPr>
            <w:r>
              <w:rPr>
                <w:rFonts w:hint="eastAsia" w:ascii="仿宋" w:hAnsi="仿宋" w:eastAsia="仿宋" w:cs="仿宋"/>
                <w:color w:val="000000"/>
                <w:sz w:val="21"/>
                <w:szCs w:val="21"/>
              </w:rPr>
              <w:t>/</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240</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KG</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sz w:val="21"/>
                <w:szCs w:val="21"/>
              </w:rPr>
              <w:t>10</w:t>
            </w:r>
          </w:p>
        </w:tc>
        <w:tc>
          <w:tcPr>
            <w:tcW w:w="9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2400</w:t>
            </w:r>
          </w:p>
        </w:tc>
        <w:tc>
          <w:tcPr>
            <w:tcW w:w="23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p>
        </w:tc>
      </w:tr>
      <w:tr>
        <w:tblPrEx>
          <w:tblCellMar>
            <w:top w:w="0" w:type="dxa"/>
            <w:left w:w="0" w:type="dxa"/>
            <w:bottom w:w="0" w:type="dxa"/>
            <w:right w:w="0" w:type="dxa"/>
          </w:tblCellMar>
        </w:tblPrEx>
        <w:trPr>
          <w:trHeight w:val="936" w:hRule="atLeast"/>
          <w:jc w:val="center"/>
        </w:trPr>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6</w:t>
            </w:r>
          </w:p>
        </w:tc>
        <w:tc>
          <w:tcPr>
            <w:tcW w:w="1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水质检测</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全年</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kern w:val="0"/>
                <w:sz w:val="21"/>
                <w:szCs w:val="21"/>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次</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sz w:val="21"/>
                <w:szCs w:val="21"/>
              </w:rPr>
              <w:t>1200</w:t>
            </w:r>
          </w:p>
        </w:tc>
        <w:tc>
          <w:tcPr>
            <w:tcW w:w="9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24</w:t>
            </w:r>
            <w:r>
              <w:rPr>
                <w:rFonts w:hint="eastAsia" w:ascii="仿宋" w:hAnsi="仿宋" w:eastAsia="仿宋" w:cs="仿宋"/>
                <w:color w:val="000000"/>
                <w:sz w:val="21"/>
                <w:szCs w:val="21"/>
              </w:rPr>
              <w:t>00</w:t>
            </w:r>
          </w:p>
        </w:tc>
        <w:tc>
          <w:tcPr>
            <w:tcW w:w="23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检测12项</w:t>
            </w:r>
          </w:p>
        </w:tc>
      </w:tr>
      <w:tr>
        <w:tblPrEx>
          <w:tblCellMar>
            <w:top w:w="0" w:type="dxa"/>
            <w:left w:w="0" w:type="dxa"/>
            <w:bottom w:w="0" w:type="dxa"/>
            <w:right w:w="0" w:type="dxa"/>
          </w:tblCellMar>
        </w:tblPrEx>
        <w:trPr>
          <w:trHeight w:val="936" w:hRule="atLeast"/>
          <w:jc w:val="center"/>
        </w:trPr>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7</w:t>
            </w:r>
          </w:p>
        </w:tc>
        <w:tc>
          <w:tcPr>
            <w:tcW w:w="1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小件更换维修</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val="en-US" w:eastAsia="zh-CN"/>
              </w:rPr>
              <w:t>全年</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kern w:val="0"/>
                <w:sz w:val="21"/>
                <w:szCs w:val="21"/>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360" w:lineRule="auto"/>
              <w:jc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次</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1200</w:t>
            </w:r>
          </w:p>
        </w:tc>
        <w:tc>
          <w:tcPr>
            <w:tcW w:w="9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2400</w:t>
            </w:r>
          </w:p>
        </w:tc>
        <w:tc>
          <w:tcPr>
            <w:tcW w:w="23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360" w:lineRule="auto"/>
              <w:jc w:val="center"/>
              <w:rPr>
                <w:rFonts w:hint="eastAsia" w:ascii="仿宋" w:hAnsi="仿宋" w:eastAsia="仿宋" w:cs="仿宋"/>
                <w:color w:val="000000"/>
                <w:sz w:val="21"/>
                <w:szCs w:val="21"/>
              </w:rPr>
            </w:pPr>
          </w:p>
        </w:tc>
      </w:tr>
      <w:tr>
        <w:tblPrEx>
          <w:tblCellMar>
            <w:top w:w="0" w:type="dxa"/>
            <w:left w:w="0" w:type="dxa"/>
            <w:bottom w:w="0" w:type="dxa"/>
            <w:right w:w="0" w:type="dxa"/>
          </w:tblCellMar>
        </w:tblPrEx>
        <w:trPr>
          <w:trHeight w:val="936" w:hRule="atLeast"/>
          <w:jc w:val="center"/>
        </w:trPr>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8</w:t>
            </w:r>
          </w:p>
        </w:tc>
        <w:tc>
          <w:tcPr>
            <w:tcW w:w="1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管道清洗</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全年</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kern w:val="0"/>
                <w:sz w:val="21"/>
                <w:szCs w:val="21"/>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次</w:t>
            </w:r>
          </w:p>
        </w:tc>
        <w:tc>
          <w:tcPr>
            <w:tcW w:w="6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sz w:val="21"/>
                <w:szCs w:val="21"/>
              </w:rPr>
              <w:t>2000</w:t>
            </w:r>
          </w:p>
        </w:tc>
        <w:tc>
          <w:tcPr>
            <w:tcW w:w="9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40</w:t>
            </w:r>
            <w:r>
              <w:rPr>
                <w:rFonts w:hint="eastAsia" w:ascii="仿宋" w:hAnsi="仿宋" w:eastAsia="仿宋" w:cs="仿宋"/>
                <w:color w:val="000000"/>
                <w:sz w:val="21"/>
                <w:szCs w:val="21"/>
              </w:rPr>
              <w:t>00</w:t>
            </w:r>
          </w:p>
        </w:tc>
        <w:tc>
          <w:tcPr>
            <w:tcW w:w="23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lang w:bidi="ar"/>
              </w:rPr>
              <w:t>水质检测不合格需进行清洗</w:t>
            </w:r>
          </w:p>
        </w:tc>
      </w:tr>
      <w:tr>
        <w:tblPrEx>
          <w:tblCellMar>
            <w:top w:w="0" w:type="dxa"/>
            <w:left w:w="0" w:type="dxa"/>
            <w:bottom w:w="0" w:type="dxa"/>
            <w:right w:w="0" w:type="dxa"/>
          </w:tblCellMar>
        </w:tblPrEx>
        <w:trPr>
          <w:trHeight w:val="936" w:hRule="atLeast"/>
          <w:jc w:val="center"/>
        </w:trPr>
        <w:tc>
          <w:tcPr>
            <w:tcW w:w="4215"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合计</w:t>
            </w:r>
          </w:p>
        </w:tc>
        <w:tc>
          <w:tcPr>
            <w:tcW w:w="67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b/>
                <w:bCs/>
                <w:color w:val="000000"/>
                <w:kern w:val="0"/>
                <w:sz w:val="21"/>
                <w:szCs w:val="21"/>
                <w:lang w:val="en-US" w:eastAsia="zh-CN" w:bidi="ar"/>
              </w:rPr>
            </w:pPr>
          </w:p>
        </w:tc>
        <w:tc>
          <w:tcPr>
            <w:tcW w:w="67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b/>
                <w:bCs/>
                <w:color w:val="000000"/>
                <w:kern w:val="0"/>
                <w:sz w:val="21"/>
                <w:szCs w:val="21"/>
                <w:lang w:bidi="ar"/>
              </w:rPr>
            </w:pPr>
          </w:p>
        </w:tc>
        <w:tc>
          <w:tcPr>
            <w:tcW w:w="67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b/>
                <w:bCs/>
                <w:color w:val="000000"/>
                <w:sz w:val="21"/>
                <w:szCs w:val="21"/>
              </w:rPr>
            </w:pPr>
          </w:p>
        </w:tc>
        <w:tc>
          <w:tcPr>
            <w:tcW w:w="993"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30800</w:t>
            </w:r>
          </w:p>
        </w:tc>
        <w:tc>
          <w:tcPr>
            <w:tcW w:w="2384"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仿宋" w:hAnsi="仿宋" w:eastAsia="仿宋" w:cs="仿宋"/>
                <w:b/>
                <w:bCs/>
                <w:color w:val="000000"/>
                <w:kern w:val="0"/>
                <w:sz w:val="21"/>
                <w:szCs w:val="21"/>
                <w:lang w:bidi="ar"/>
              </w:rPr>
            </w:pPr>
          </w:p>
        </w:tc>
      </w:tr>
    </w:tbl>
    <w:p>
      <w:pPr>
        <w:spacing w:line="360" w:lineRule="auto"/>
        <w:rPr>
          <w:rFonts w:hint="eastAsia" w:ascii="仿宋" w:hAnsi="仿宋" w:eastAsia="仿宋" w:cs="仿宋"/>
          <w:sz w:val="21"/>
          <w:szCs w:val="21"/>
        </w:rPr>
        <w:sectPr>
          <w:pgSz w:w="11906" w:h="16838"/>
          <w:pgMar w:top="1440" w:right="1800" w:bottom="1440" w:left="1800" w:header="851" w:footer="992" w:gutter="0"/>
          <w:pgNumType w:fmt="decimal"/>
          <w:cols w:space="720" w:num="1"/>
          <w:docGrid w:type="lines" w:linePitch="312" w:charSpace="0"/>
        </w:sectPr>
      </w:pPr>
    </w:p>
    <w:p>
      <w:pPr>
        <w:spacing w:line="360" w:lineRule="auto"/>
        <w:ind w:right="-340" w:rightChars="-162"/>
        <w:jc w:val="center"/>
        <w:outlineLvl w:val="1"/>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rPr>
        <w:t>标段23 仪器仪表检测</w:t>
      </w:r>
      <w:r>
        <w:rPr>
          <w:rFonts w:hint="eastAsia" w:ascii="仿宋" w:hAnsi="仿宋" w:eastAsia="仿宋" w:cs="仿宋"/>
          <w:b/>
          <w:color w:val="auto"/>
          <w:sz w:val="21"/>
          <w:szCs w:val="21"/>
          <w:highlight w:val="none"/>
          <w:lang w:val="en-US" w:eastAsia="zh-CN"/>
        </w:rPr>
        <w:t>分项报价明细表</w:t>
      </w:r>
    </w:p>
    <w:tbl>
      <w:tblPr>
        <w:tblStyle w:val="9"/>
        <w:tblW w:w="5440" w:type="pct"/>
        <w:jc w:val="center"/>
        <w:tblLayout w:type="autofit"/>
        <w:tblCellMar>
          <w:top w:w="0" w:type="dxa"/>
          <w:left w:w="108" w:type="dxa"/>
          <w:bottom w:w="0" w:type="dxa"/>
          <w:right w:w="108" w:type="dxa"/>
        </w:tblCellMar>
      </w:tblPr>
      <w:tblGrid>
        <w:gridCol w:w="427"/>
        <w:gridCol w:w="427"/>
        <w:gridCol w:w="1807"/>
        <w:gridCol w:w="427"/>
        <w:gridCol w:w="427"/>
        <w:gridCol w:w="637"/>
        <w:gridCol w:w="746"/>
        <w:gridCol w:w="429"/>
        <w:gridCol w:w="636"/>
        <w:gridCol w:w="590"/>
        <w:gridCol w:w="2719"/>
      </w:tblGrid>
      <w:tr>
        <w:tblPrEx>
          <w:tblCellMar>
            <w:top w:w="0" w:type="dxa"/>
            <w:left w:w="108" w:type="dxa"/>
            <w:bottom w:w="0" w:type="dxa"/>
            <w:right w:w="108" w:type="dxa"/>
          </w:tblCellMar>
        </w:tblPrEx>
        <w:trPr>
          <w:trHeight w:val="185" w:hRule="atLeast"/>
          <w:jc w:val="center"/>
        </w:trPr>
        <w:tc>
          <w:tcPr>
            <w:tcW w:w="230"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b/>
                <w:bCs/>
                <w:color w:val="auto"/>
                <w:kern w:val="0"/>
                <w:sz w:val="21"/>
                <w:szCs w:val="21"/>
                <w:highlight w:val="none"/>
                <w:lang w:eastAsia="zh-CN"/>
              </w:rPr>
            </w:pPr>
            <w:r>
              <w:rPr>
                <w:rFonts w:hint="eastAsia" w:ascii="仿宋" w:hAnsi="仿宋" w:eastAsia="仿宋" w:cs="仿宋"/>
                <w:b/>
                <w:bCs/>
                <w:color w:val="auto"/>
                <w:kern w:val="0"/>
                <w:sz w:val="21"/>
                <w:szCs w:val="21"/>
                <w:highlight w:val="none"/>
                <w:lang w:val="en-US" w:eastAsia="zh-CN"/>
              </w:rPr>
              <w:t>序号</w:t>
            </w:r>
          </w:p>
        </w:tc>
        <w:tc>
          <w:tcPr>
            <w:tcW w:w="230" w:type="pct"/>
            <w:tcBorders>
              <w:top w:val="single" w:color="auto" w:sz="4" w:space="0"/>
              <w:left w:val="nil"/>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名称</w:t>
            </w:r>
          </w:p>
        </w:tc>
        <w:tc>
          <w:tcPr>
            <w:tcW w:w="974" w:type="pct"/>
            <w:tcBorders>
              <w:top w:val="single" w:color="auto" w:sz="4" w:space="0"/>
              <w:left w:val="nil"/>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内容</w:t>
            </w:r>
          </w:p>
        </w:tc>
        <w:tc>
          <w:tcPr>
            <w:tcW w:w="230" w:type="pct"/>
            <w:tcBorders>
              <w:top w:val="single" w:color="auto" w:sz="4" w:space="0"/>
              <w:left w:val="nil"/>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单位</w:t>
            </w:r>
          </w:p>
        </w:tc>
        <w:tc>
          <w:tcPr>
            <w:tcW w:w="230" w:type="pct"/>
            <w:tcBorders>
              <w:top w:val="single" w:color="auto" w:sz="4" w:space="0"/>
              <w:left w:val="nil"/>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342" w:type="pct"/>
            <w:tcBorders>
              <w:top w:val="single" w:color="auto" w:sz="4" w:space="0"/>
              <w:left w:val="nil"/>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单价(预算.元)</w:t>
            </w:r>
          </w:p>
        </w:tc>
        <w:tc>
          <w:tcPr>
            <w:tcW w:w="402" w:type="pct"/>
            <w:tcBorders>
              <w:top w:val="single" w:color="auto" w:sz="4" w:space="0"/>
              <w:left w:val="nil"/>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val="en-US" w:eastAsia="zh-CN"/>
              </w:rPr>
              <w:t>总价</w:t>
            </w:r>
            <w:r>
              <w:rPr>
                <w:rFonts w:hint="eastAsia" w:ascii="仿宋" w:hAnsi="仿宋" w:eastAsia="仿宋" w:cs="仿宋"/>
                <w:b/>
                <w:bCs/>
                <w:color w:val="auto"/>
                <w:kern w:val="0"/>
                <w:sz w:val="21"/>
                <w:szCs w:val="21"/>
                <w:highlight w:val="none"/>
              </w:rPr>
              <w:t>(预算.元)</w:t>
            </w:r>
          </w:p>
        </w:tc>
        <w:tc>
          <w:tcPr>
            <w:tcW w:w="231" w:type="pct"/>
            <w:tcBorders>
              <w:top w:val="single" w:color="auto" w:sz="4" w:space="0"/>
              <w:left w:val="nil"/>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项目单位</w:t>
            </w:r>
          </w:p>
        </w:tc>
        <w:tc>
          <w:tcPr>
            <w:tcW w:w="342" w:type="pct"/>
            <w:tcBorders>
              <w:top w:val="single" w:color="auto" w:sz="4" w:space="0"/>
              <w:left w:val="nil"/>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b/>
                <w:bCs/>
                <w:color w:val="auto"/>
                <w:kern w:val="0"/>
                <w:sz w:val="21"/>
                <w:szCs w:val="21"/>
                <w:highlight w:val="none"/>
                <w:lang w:val="en-US" w:eastAsia="zh-CN"/>
              </w:rPr>
            </w:pPr>
            <w:r>
              <w:rPr>
                <w:rFonts w:hint="eastAsia" w:ascii="仿宋" w:hAnsi="仿宋" w:eastAsia="仿宋" w:cs="仿宋"/>
                <w:b/>
                <w:bCs/>
                <w:color w:val="auto"/>
                <w:kern w:val="0"/>
                <w:sz w:val="21"/>
                <w:szCs w:val="21"/>
                <w:highlight w:val="none"/>
                <w:lang w:val="en-US" w:eastAsia="zh-CN"/>
              </w:rPr>
              <w:t>服务期</w:t>
            </w:r>
          </w:p>
        </w:tc>
        <w:tc>
          <w:tcPr>
            <w:tcW w:w="318" w:type="pct"/>
            <w:tcBorders>
              <w:top w:val="single" w:color="auto" w:sz="4" w:space="0"/>
              <w:left w:val="nil"/>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b/>
                <w:bCs/>
                <w:color w:val="auto"/>
                <w:kern w:val="0"/>
                <w:sz w:val="21"/>
                <w:szCs w:val="21"/>
                <w:highlight w:val="none"/>
                <w:lang w:val="en-US" w:eastAsia="zh-CN"/>
              </w:rPr>
            </w:pPr>
            <w:r>
              <w:rPr>
                <w:rFonts w:hint="eastAsia" w:ascii="仿宋" w:hAnsi="仿宋" w:eastAsia="仿宋" w:cs="仿宋"/>
                <w:b/>
                <w:bCs/>
                <w:color w:val="auto"/>
                <w:kern w:val="0"/>
                <w:sz w:val="21"/>
                <w:szCs w:val="21"/>
                <w:highlight w:val="none"/>
                <w:lang w:val="en-US" w:eastAsia="zh-CN"/>
              </w:rPr>
              <w:t>资金来源</w:t>
            </w:r>
          </w:p>
        </w:tc>
        <w:tc>
          <w:tcPr>
            <w:tcW w:w="1465" w:type="pct"/>
            <w:tcBorders>
              <w:top w:val="single" w:color="auto" w:sz="4" w:space="0"/>
              <w:left w:val="nil"/>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备注</w:t>
            </w:r>
          </w:p>
        </w:tc>
      </w:tr>
      <w:tr>
        <w:tblPrEx>
          <w:tblCellMar>
            <w:top w:w="0" w:type="dxa"/>
            <w:left w:w="108" w:type="dxa"/>
            <w:bottom w:w="0" w:type="dxa"/>
            <w:right w:w="108" w:type="dxa"/>
          </w:tblCellMar>
        </w:tblPrEx>
        <w:trPr>
          <w:trHeight w:val="90" w:hRule="atLeast"/>
          <w:jc w:val="center"/>
        </w:trPr>
        <w:tc>
          <w:tcPr>
            <w:tcW w:w="230" w:type="pct"/>
            <w:vMerge w:val="restart"/>
            <w:tcBorders>
              <w:top w:val="single" w:color="auto" w:sz="4" w:space="0"/>
              <w:left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c>
          <w:tcPr>
            <w:tcW w:w="230" w:type="pct"/>
            <w:vMerge w:val="restart"/>
            <w:tcBorders>
              <w:top w:val="single" w:color="auto" w:sz="4" w:space="0"/>
              <w:left w:val="single" w:color="auto" w:sz="4" w:space="0"/>
              <w:right w:val="single" w:color="auto" w:sz="4" w:space="0"/>
            </w:tcBorders>
            <w:noWrap w:val="0"/>
            <w:vAlign w:val="center"/>
          </w:tcPr>
          <w:p>
            <w:pPr>
              <w:widowControl/>
              <w:spacing w:line="360" w:lineRule="auto"/>
              <w:jc w:val="center"/>
              <w:rPr>
                <w:rFonts w:hint="eastAsia" w:ascii="仿宋" w:hAnsi="仿宋" w:eastAsia="仿宋" w:cs="仿宋"/>
                <w:i w:val="0"/>
                <w:color w:val="000000"/>
                <w:sz w:val="21"/>
                <w:szCs w:val="21"/>
                <w:u w:val="none"/>
                <w:lang w:val="en-US" w:eastAsia="zh-CN"/>
              </w:rPr>
            </w:pPr>
            <w:r>
              <w:rPr>
                <w:rFonts w:hint="eastAsia" w:ascii="仿宋" w:hAnsi="仿宋" w:eastAsia="仿宋" w:cs="仿宋"/>
                <w:i w:val="0"/>
                <w:color w:val="000000"/>
                <w:sz w:val="21"/>
                <w:szCs w:val="21"/>
                <w:u w:val="none"/>
                <w:lang w:val="en-US" w:eastAsia="zh-CN"/>
              </w:rPr>
              <w:t>信息通信仪器仪表检测</w:t>
            </w:r>
          </w:p>
          <w:p>
            <w:pPr>
              <w:widowControl/>
              <w:spacing w:line="360" w:lineRule="auto"/>
              <w:jc w:val="center"/>
              <w:rPr>
                <w:rFonts w:hint="eastAsia" w:ascii="仿宋" w:hAnsi="仿宋" w:eastAsia="仿宋" w:cs="仿宋"/>
                <w:color w:val="auto"/>
                <w:kern w:val="0"/>
                <w:sz w:val="21"/>
                <w:szCs w:val="21"/>
                <w:highlight w:val="none"/>
              </w:rPr>
            </w:pPr>
          </w:p>
        </w:tc>
        <w:tc>
          <w:tcPr>
            <w:tcW w:w="974" w:type="pct"/>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spacing w:line="36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i w:val="0"/>
                <w:color w:val="000000"/>
                <w:kern w:val="0"/>
                <w:sz w:val="21"/>
                <w:szCs w:val="21"/>
                <w:u w:val="none"/>
                <w:lang w:val="en-US" w:eastAsia="zh-CN" w:bidi="ar"/>
              </w:rPr>
              <w:t>信息通信处现有稳定光源17台、光功率计17台、光时域反射仪8台、光纤熔接机9台、2Mb/s误码仪7台需要进行检验、校准，上述设备均属于精密仪器，测试的精确程度直接影响测试结果，需要选取具有国家级资质的检验、校准机构。</w:t>
            </w:r>
          </w:p>
        </w:tc>
        <w:tc>
          <w:tcPr>
            <w:tcW w:w="230"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台</w:t>
            </w:r>
          </w:p>
        </w:tc>
        <w:tc>
          <w:tcPr>
            <w:tcW w:w="230"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2</w:t>
            </w:r>
          </w:p>
        </w:tc>
        <w:tc>
          <w:tcPr>
            <w:tcW w:w="342"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3000</w:t>
            </w:r>
          </w:p>
        </w:tc>
        <w:tc>
          <w:tcPr>
            <w:tcW w:w="402"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6000</w:t>
            </w:r>
          </w:p>
        </w:tc>
        <w:tc>
          <w:tcPr>
            <w:tcW w:w="231" w:type="pct"/>
            <w:vMerge w:val="restart"/>
            <w:tcBorders>
              <w:top w:val="single" w:color="auto" w:sz="4" w:space="0"/>
              <w:left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信通处</w:t>
            </w:r>
          </w:p>
          <w:p>
            <w:pPr>
              <w:widowControl/>
              <w:spacing w:line="360" w:lineRule="auto"/>
              <w:jc w:val="center"/>
              <w:rPr>
                <w:rFonts w:hint="eastAsia" w:ascii="仿宋" w:hAnsi="仿宋" w:eastAsia="仿宋" w:cs="仿宋"/>
                <w:color w:val="auto"/>
                <w:kern w:val="0"/>
                <w:sz w:val="21"/>
                <w:szCs w:val="21"/>
                <w:highlight w:val="none"/>
              </w:rPr>
            </w:pPr>
          </w:p>
        </w:tc>
        <w:tc>
          <w:tcPr>
            <w:tcW w:w="342" w:type="pct"/>
            <w:vMerge w:val="restart"/>
            <w:tcBorders>
              <w:top w:val="single" w:color="auto" w:sz="4" w:space="0"/>
              <w:left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合同签订后至2023年12月31日</w:t>
            </w:r>
          </w:p>
        </w:tc>
        <w:tc>
          <w:tcPr>
            <w:tcW w:w="318" w:type="pct"/>
            <w:vMerge w:val="restart"/>
            <w:tcBorders>
              <w:top w:val="single" w:color="auto" w:sz="4" w:space="0"/>
              <w:left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bidi="ar-SA"/>
              </w:rPr>
              <w:t>设备检测费</w:t>
            </w:r>
          </w:p>
        </w:tc>
        <w:tc>
          <w:tcPr>
            <w:tcW w:w="1465"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both"/>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手持式WIFI测试仪：信息班2；</w:t>
            </w:r>
          </w:p>
        </w:tc>
      </w:tr>
      <w:tr>
        <w:tblPrEx>
          <w:tblCellMar>
            <w:top w:w="0" w:type="dxa"/>
            <w:left w:w="108" w:type="dxa"/>
            <w:bottom w:w="0" w:type="dxa"/>
            <w:right w:w="108" w:type="dxa"/>
          </w:tblCellMar>
        </w:tblPrEx>
        <w:trPr>
          <w:trHeight w:val="185" w:hRule="atLeast"/>
          <w:jc w:val="center"/>
        </w:trPr>
        <w:tc>
          <w:tcPr>
            <w:tcW w:w="230" w:type="pct"/>
            <w:vMerge w:val="continue"/>
            <w:tcBorders>
              <w:left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rPr>
            </w:pPr>
          </w:p>
        </w:tc>
        <w:tc>
          <w:tcPr>
            <w:tcW w:w="230" w:type="pct"/>
            <w:vMerge w:val="continue"/>
            <w:tcBorders>
              <w:left w:val="single" w:color="auto" w:sz="4" w:space="0"/>
              <w:right w:val="single" w:color="auto" w:sz="4" w:space="0"/>
            </w:tcBorders>
            <w:noWrap w:val="0"/>
            <w:vAlign w:val="center"/>
          </w:tcPr>
          <w:p>
            <w:pPr>
              <w:widowControl/>
              <w:spacing w:line="360" w:lineRule="auto"/>
              <w:jc w:val="left"/>
              <w:rPr>
                <w:rFonts w:hint="eastAsia" w:ascii="仿宋" w:hAnsi="仿宋" w:eastAsia="仿宋" w:cs="仿宋"/>
                <w:color w:val="auto"/>
                <w:kern w:val="0"/>
                <w:sz w:val="21"/>
                <w:szCs w:val="21"/>
                <w:highlight w:val="none"/>
              </w:rPr>
            </w:pPr>
          </w:p>
        </w:tc>
        <w:tc>
          <w:tcPr>
            <w:tcW w:w="974" w:type="pct"/>
            <w:vMerge w:val="continue"/>
            <w:tcBorders>
              <w:left w:val="single" w:color="auto" w:sz="4" w:space="0"/>
              <w:right w:val="single" w:color="auto" w:sz="4" w:space="0"/>
            </w:tcBorders>
            <w:noWrap w:val="0"/>
            <w:vAlign w:val="center"/>
          </w:tcPr>
          <w:p>
            <w:pPr>
              <w:keepNext w:val="0"/>
              <w:keepLines w:val="0"/>
              <w:widowControl/>
              <w:suppressLineNumbers w:val="0"/>
              <w:spacing w:line="360" w:lineRule="auto"/>
              <w:jc w:val="left"/>
              <w:textAlignment w:val="center"/>
              <w:rPr>
                <w:rFonts w:hint="eastAsia" w:ascii="仿宋" w:hAnsi="仿宋" w:eastAsia="仿宋" w:cs="仿宋"/>
                <w:color w:val="auto"/>
                <w:kern w:val="0"/>
                <w:sz w:val="21"/>
                <w:szCs w:val="21"/>
                <w:highlight w:val="none"/>
              </w:rPr>
            </w:pPr>
          </w:p>
        </w:tc>
        <w:tc>
          <w:tcPr>
            <w:tcW w:w="230"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台</w:t>
            </w:r>
          </w:p>
        </w:tc>
        <w:tc>
          <w:tcPr>
            <w:tcW w:w="230"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17</w:t>
            </w:r>
          </w:p>
        </w:tc>
        <w:tc>
          <w:tcPr>
            <w:tcW w:w="342"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rPr>
            </w:pPr>
            <w:r>
              <w:rPr>
                <w:rFonts w:hint="eastAsia" w:ascii="仿宋" w:hAnsi="仿宋" w:eastAsia="仿宋" w:cs="仿宋"/>
                <w:color w:val="auto"/>
                <w:kern w:val="0"/>
                <w:sz w:val="21"/>
                <w:szCs w:val="21"/>
                <w:highlight w:val="none"/>
                <w:lang w:val="en-US" w:eastAsia="zh-CN"/>
              </w:rPr>
              <w:t>900</w:t>
            </w:r>
          </w:p>
        </w:tc>
        <w:tc>
          <w:tcPr>
            <w:tcW w:w="402"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15300</w:t>
            </w:r>
          </w:p>
        </w:tc>
        <w:tc>
          <w:tcPr>
            <w:tcW w:w="231" w:type="pct"/>
            <w:vMerge w:val="continue"/>
            <w:tcBorders>
              <w:left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bidi="ar-SA"/>
              </w:rPr>
            </w:pPr>
          </w:p>
        </w:tc>
        <w:tc>
          <w:tcPr>
            <w:tcW w:w="342" w:type="pct"/>
            <w:vMerge w:val="continue"/>
            <w:tcBorders>
              <w:left w:val="single" w:color="auto" w:sz="4" w:space="0"/>
              <w:right w:val="single" w:color="auto" w:sz="4" w:space="0"/>
            </w:tcBorders>
            <w:noWrap w:val="0"/>
            <w:vAlign w:val="center"/>
          </w:tcPr>
          <w:p>
            <w:pPr>
              <w:widowControl/>
              <w:spacing w:line="360" w:lineRule="auto"/>
              <w:jc w:val="left"/>
              <w:rPr>
                <w:rFonts w:hint="eastAsia" w:ascii="仿宋" w:hAnsi="仿宋" w:eastAsia="仿宋" w:cs="仿宋"/>
                <w:color w:val="auto"/>
                <w:kern w:val="0"/>
                <w:sz w:val="21"/>
                <w:szCs w:val="21"/>
                <w:highlight w:val="none"/>
                <w:lang w:val="en-US" w:eastAsia="zh-CN" w:bidi="ar-SA"/>
              </w:rPr>
            </w:pPr>
          </w:p>
        </w:tc>
        <w:tc>
          <w:tcPr>
            <w:tcW w:w="318" w:type="pct"/>
            <w:vMerge w:val="continue"/>
            <w:tcBorders>
              <w:left w:val="single" w:color="auto" w:sz="4" w:space="0"/>
              <w:right w:val="single" w:color="auto" w:sz="4" w:space="0"/>
            </w:tcBorders>
            <w:noWrap w:val="0"/>
            <w:vAlign w:val="center"/>
          </w:tcPr>
          <w:p>
            <w:pPr>
              <w:widowControl/>
              <w:spacing w:line="360" w:lineRule="auto"/>
              <w:jc w:val="left"/>
              <w:rPr>
                <w:rFonts w:hint="eastAsia" w:ascii="仿宋" w:hAnsi="仿宋" w:eastAsia="仿宋" w:cs="仿宋"/>
                <w:color w:val="auto"/>
                <w:kern w:val="0"/>
                <w:sz w:val="21"/>
                <w:szCs w:val="21"/>
                <w:highlight w:val="none"/>
                <w:lang w:val="en-US" w:eastAsia="zh-CN"/>
              </w:rPr>
            </w:pPr>
          </w:p>
        </w:tc>
        <w:tc>
          <w:tcPr>
            <w:tcW w:w="1465"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both"/>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光功率计：通信设备运检二班一班3；通信设备运检二班9；信息班4；通信调度班1</w:t>
            </w:r>
          </w:p>
        </w:tc>
      </w:tr>
      <w:tr>
        <w:tblPrEx>
          <w:tblCellMar>
            <w:top w:w="0" w:type="dxa"/>
            <w:left w:w="108" w:type="dxa"/>
            <w:bottom w:w="0" w:type="dxa"/>
            <w:right w:w="108" w:type="dxa"/>
          </w:tblCellMar>
        </w:tblPrEx>
        <w:trPr>
          <w:trHeight w:val="185" w:hRule="atLeast"/>
          <w:jc w:val="center"/>
        </w:trPr>
        <w:tc>
          <w:tcPr>
            <w:tcW w:w="230" w:type="pct"/>
            <w:vMerge w:val="continue"/>
            <w:tcBorders>
              <w:left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rPr>
            </w:pPr>
          </w:p>
        </w:tc>
        <w:tc>
          <w:tcPr>
            <w:tcW w:w="230" w:type="pct"/>
            <w:vMerge w:val="continue"/>
            <w:tcBorders>
              <w:left w:val="single" w:color="auto" w:sz="4" w:space="0"/>
              <w:right w:val="single" w:color="auto" w:sz="4" w:space="0"/>
            </w:tcBorders>
            <w:noWrap w:val="0"/>
            <w:vAlign w:val="center"/>
          </w:tcPr>
          <w:p>
            <w:pPr>
              <w:widowControl/>
              <w:spacing w:line="360" w:lineRule="auto"/>
              <w:jc w:val="left"/>
              <w:rPr>
                <w:rFonts w:hint="eastAsia" w:ascii="仿宋" w:hAnsi="仿宋" w:eastAsia="仿宋" w:cs="仿宋"/>
                <w:color w:val="auto"/>
                <w:kern w:val="0"/>
                <w:sz w:val="21"/>
                <w:szCs w:val="21"/>
                <w:highlight w:val="none"/>
              </w:rPr>
            </w:pPr>
          </w:p>
        </w:tc>
        <w:tc>
          <w:tcPr>
            <w:tcW w:w="974" w:type="pct"/>
            <w:vMerge w:val="continue"/>
            <w:tcBorders>
              <w:left w:val="single" w:color="auto" w:sz="4" w:space="0"/>
              <w:right w:val="single" w:color="auto" w:sz="4" w:space="0"/>
            </w:tcBorders>
            <w:noWrap w:val="0"/>
            <w:vAlign w:val="center"/>
          </w:tcPr>
          <w:p>
            <w:pPr>
              <w:keepNext w:val="0"/>
              <w:keepLines w:val="0"/>
              <w:widowControl/>
              <w:suppressLineNumbers w:val="0"/>
              <w:spacing w:line="360" w:lineRule="auto"/>
              <w:jc w:val="left"/>
              <w:textAlignment w:val="center"/>
              <w:rPr>
                <w:rFonts w:hint="eastAsia" w:ascii="仿宋" w:hAnsi="仿宋" w:eastAsia="仿宋" w:cs="仿宋"/>
                <w:color w:val="auto"/>
                <w:kern w:val="0"/>
                <w:sz w:val="21"/>
                <w:szCs w:val="21"/>
                <w:highlight w:val="none"/>
              </w:rPr>
            </w:pPr>
          </w:p>
        </w:tc>
        <w:tc>
          <w:tcPr>
            <w:tcW w:w="230"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台</w:t>
            </w:r>
          </w:p>
        </w:tc>
        <w:tc>
          <w:tcPr>
            <w:tcW w:w="230"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17</w:t>
            </w:r>
          </w:p>
        </w:tc>
        <w:tc>
          <w:tcPr>
            <w:tcW w:w="342"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i w:val="0"/>
                <w:color w:val="000000"/>
                <w:sz w:val="21"/>
                <w:szCs w:val="21"/>
                <w:u w:val="none"/>
                <w:lang w:val="en-US" w:eastAsia="zh-CN"/>
              </w:rPr>
            </w:pPr>
            <w:r>
              <w:rPr>
                <w:rFonts w:hint="eastAsia" w:ascii="仿宋" w:hAnsi="仿宋" w:eastAsia="仿宋" w:cs="仿宋"/>
                <w:color w:val="auto"/>
                <w:kern w:val="0"/>
                <w:sz w:val="21"/>
                <w:szCs w:val="21"/>
                <w:highlight w:val="none"/>
                <w:lang w:val="en-US" w:eastAsia="zh-CN"/>
              </w:rPr>
              <w:t>1500</w:t>
            </w:r>
          </w:p>
        </w:tc>
        <w:tc>
          <w:tcPr>
            <w:tcW w:w="402"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i w:val="0"/>
                <w:color w:val="000000"/>
                <w:sz w:val="21"/>
                <w:szCs w:val="21"/>
                <w:u w:val="none"/>
                <w:lang w:val="en-US" w:eastAsia="zh-CN"/>
              </w:rPr>
            </w:pPr>
            <w:r>
              <w:rPr>
                <w:rFonts w:hint="eastAsia" w:ascii="仿宋" w:hAnsi="仿宋" w:eastAsia="仿宋" w:cs="仿宋"/>
                <w:color w:val="auto"/>
                <w:kern w:val="0"/>
                <w:sz w:val="21"/>
                <w:szCs w:val="21"/>
                <w:highlight w:val="none"/>
                <w:lang w:val="en-US" w:eastAsia="zh-CN"/>
              </w:rPr>
              <w:t>25500</w:t>
            </w:r>
          </w:p>
        </w:tc>
        <w:tc>
          <w:tcPr>
            <w:tcW w:w="231" w:type="pct"/>
            <w:vMerge w:val="continue"/>
            <w:tcBorders>
              <w:left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p>
        </w:tc>
        <w:tc>
          <w:tcPr>
            <w:tcW w:w="342" w:type="pct"/>
            <w:vMerge w:val="continue"/>
            <w:tcBorders>
              <w:left w:val="single" w:color="auto" w:sz="4" w:space="0"/>
              <w:right w:val="single" w:color="auto" w:sz="4" w:space="0"/>
            </w:tcBorders>
            <w:noWrap w:val="0"/>
            <w:vAlign w:val="center"/>
          </w:tcPr>
          <w:p>
            <w:pPr>
              <w:widowControl/>
              <w:spacing w:line="360" w:lineRule="auto"/>
              <w:jc w:val="left"/>
              <w:rPr>
                <w:rFonts w:hint="eastAsia" w:ascii="仿宋" w:hAnsi="仿宋" w:eastAsia="仿宋" w:cs="仿宋"/>
                <w:color w:val="auto"/>
                <w:kern w:val="0"/>
                <w:sz w:val="21"/>
                <w:szCs w:val="21"/>
                <w:highlight w:val="none"/>
                <w:lang w:val="en-US" w:eastAsia="zh-CN" w:bidi="ar-SA"/>
              </w:rPr>
            </w:pPr>
          </w:p>
        </w:tc>
        <w:tc>
          <w:tcPr>
            <w:tcW w:w="318" w:type="pct"/>
            <w:vMerge w:val="continue"/>
            <w:tcBorders>
              <w:left w:val="single" w:color="auto" w:sz="4" w:space="0"/>
              <w:right w:val="single" w:color="auto" w:sz="4" w:space="0"/>
            </w:tcBorders>
            <w:noWrap w:val="0"/>
            <w:vAlign w:val="center"/>
          </w:tcPr>
          <w:p>
            <w:pPr>
              <w:widowControl/>
              <w:spacing w:line="360" w:lineRule="auto"/>
              <w:jc w:val="left"/>
              <w:rPr>
                <w:rFonts w:hint="eastAsia" w:ascii="仿宋" w:hAnsi="仿宋" w:eastAsia="仿宋" w:cs="仿宋"/>
                <w:color w:val="auto"/>
                <w:kern w:val="0"/>
                <w:sz w:val="21"/>
                <w:szCs w:val="21"/>
                <w:highlight w:val="none"/>
                <w:lang w:val="en-US" w:eastAsia="zh-CN"/>
              </w:rPr>
            </w:pPr>
          </w:p>
        </w:tc>
        <w:tc>
          <w:tcPr>
            <w:tcW w:w="1465"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both"/>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稳定光源：通信设备运检一班3；通信设备运检二班9；信息班4；通信调度班1</w:t>
            </w:r>
          </w:p>
        </w:tc>
      </w:tr>
      <w:tr>
        <w:tblPrEx>
          <w:tblCellMar>
            <w:top w:w="0" w:type="dxa"/>
            <w:left w:w="108" w:type="dxa"/>
            <w:bottom w:w="0" w:type="dxa"/>
            <w:right w:w="108" w:type="dxa"/>
          </w:tblCellMar>
        </w:tblPrEx>
        <w:trPr>
          <w:trHeight w:val="149" w:hRule="atLeast"/>
          <w:jc w:val="center"/>
        </w:trPr>
        <w:tc>
          <w:tcPr>
            <w:tcW w:w="230" w:type="pct"/>
            <w:vMerge w:val="continue"/>
            <w:tcBorders>
              <w:left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rPr>
            </w:pPr>
          </w:p>
        </w:tc>
        <w:tc>
          <w:tcPr>
            <w:tcW w:w="230" w:type="pct"/>
            <w:vMerge w:val="continue"/>
            <w:tcBorders>
              <w:left w:val="single" w:color="auto" w:sz="4" w:space="0"/>
              <w:right w:val="single" w:color="auto" w:sz="4" w:space="0"/>
            </w:tcBorders>
            <w:noWrap w:val="0"/>
            <w:vAlign w:val="center"/>
          </w:tcPr>
          <w:p>
            <w:pPr>
              <w:widowControl/>
              <w:spacing w:line="360" w:lineRule="auto"/>
              <w:jc w:val="left"/>
              <w:rPr>
                <w:rFonts w:hint="eastAsia" w:ascii="仿宋" w:hAnsi="仿宋" w:eastAsia="仿宋" w:cs="仿宋"/>
                <w:color w:val="auto"/>
                <w:kern w:val="0"/>
                <w:sz w:val="21"/>
                <w:szCs w:val="21"/>
                <w:highlight w:val="none"/>
              </w:rPr>
            </w:pPr>
          </w:p>
        </w:tc>
        <w:tc>
          <w:tcPr>
            <w:tcW w:w="974" w:type="pct"/>
            <w:vMerge w:val="continue"/>
            <w:tcBorders>
              <w:left w:val="single" w:color="auto" w:sz="4" w:space="0"/>
              <w:right w:val="single" w:color="auto" w:sz="4" w:space="0"/>
            </w:tcBorders>
            <w:noWrap w:val="0"/>
            <w:vAlign w:val="center"/>
          </w:tcPr>
          <w:p>
            <w:pPr>
              <w:keepNext w:val="0"/>
              <w:keepLines w:val="0"/>
              <w:widowControl/>
              <w:suppressLineNumbers w:val="0"/>
              <w:spacing w:line="360" w:lineRule="auto"/>
              <w:jc w:val="left"/>
              <w:textAlignment w:val="center"/>
              <w:rPr>
                <w:rFonts w:hint="eastAsia" w:ascii="仿宋" w:hAnsi="仿宋" w:eastAsia="仿宋" w:cs="仿宋"/>
                <w:color w:val="auto"/>
                <w:kern w:val="0"/>
                <w:sz w:val="21"/>
                <w:szCs w:val="21"/>
                <w:highlight w:val="none"/>
              </w:rPr>
            </w:pPr>
          </w:p>
        </w:tc>
        <w:tc>
          <w:tcPr>
            <w:tcW w:w="230"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台</w:t>
            </w:r>
          </w:p>
        </w:tc>
        <w:tc>
          <w:tcPr>
            <w:tcW w:w="230"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8</w:t>
            </w:r>
          </w:p>
        </w:tc>
        <w:tc>
          <w:tcPr>
            <w:tcW w:w="342"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i w:val="0"/>
                <w:color w:val="000000"/>
                <w:sz w:val="21"/>
                <w:szCs w:val="21"/>
                <w:u w:val="none"/>
                <w:lang w:val="en-US" w:eastAsia="zh-CN"/>
              </w:rPr>
            </w:pPr>
            <w:r>
              <w:rPr>
                <w:rFonts w:hint="eastAsia" w:ascii="仿宋" w:hAnsi="仿宋" w:eastAsia="仿宋" w:cs="仿宋"/>
                <w:color w:val="auto"/>
                <w:kern w:val="0"/>
                <w:sz w:val="21"/>
                <w:szCs w:val="21"/>
                <w:highlight w:val="none"/>
                <w:lang w:val="en-US" w:eastAsia="zh-CN"/>
              </w:rPr>
              <w:t>2700</w:t>
            </w:r>
          </w:p>
        </w:tc>
        <w:tc>
          <w:tcPr>
            <w:tcW w:w="402"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i w:val="0"/>
                <w:color w:val="000000"/>
                <w:sz w:val="21"/>
                <w:szCs w:val="21"/>
                <w:u w:val="none"/>
                <w:lang w:val="en-US" w:eastAsia="zh-CN"/>
              </w:rPr>
            </w:pPr>
            <w:r>
              <w:rPr>
                <w:rFonts w:hint="eastAsia" w:ascii="仿宋" w:hAnsi="仿宋" w:eastAsia="仿宋" w:cs="仿宋"/>
                <w:color w:val="auto"/>
                <w:kern w:val="0"/>
                <w:sz w:val="21"/>
                <w:szCs w:val="21"/>
                <w:highlight w:val="none"/>
                <w:lang w:val="en-US" w:eastAsia="zh-CN"/>
              </w:rPr>
              <w:t>21600</w:t>
            </w:r>
          </w:p>
        </w:tc>
        <w:tc>
          <w:tcPr>
            <w:tcW w:w="231" w:type="pct"/>
            <w:vMerge w:val="continue"/>
            <w:tcBorders>
              <w:left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p>
        </w:tc>
        <w:tc>
          <w:tcPr>
            <w:tcW w:w="342" w:type="pct"/>
            <w:vMerge w:val="continue"/>
            <w:tcBorders>
              <w:left w:val="single" w:color="auto" w:sz="4" w:space="0"/>
              <w:right w:val="single" w:color="auto" w:sz="4" w:space="0"/>
            </w:tcBorders>
            <w:noWrap w:val="0"/>
            <w:vAlign w:val="center"/>
          </w:tcPr>
          <w:p>
            <w:pPr>
              <w:widowControl/>
              <w:spacing w:line="360" w:lineRule="auto"/>
              <w:jc w:val="left"/>
              <w:rPr>
                <w:rFonts w:hint="eastAsia" w:ascii="仿宋" w:hAnsi="仿宋" w:eastAsia="仿宋" w:cs="仿宋"/>
                <w:color w:val="auto"/>
                <w:kern w:val="0"/>
                <w:sz w:val="21"/>
                <w:szCs w:val="21"/>
                <w:highlight w:val="none"/>
                <w:lang w:val="en-US" w:eastAsia="zh-CN" w:bidi="ar-SA"/>
              </w:rPr>
            </w:pPr>
          </w:p>
        </w:tc>
        <w:tc>
          <w:tcPr>
            <w:tcW w:w="318" w:type="pct"/>
            <w:vMerge w:val="continue"/>
            <w:tcBorders>
              <w:left w:val="single" w:color="auto" w:sz="4" w:space="0"/>
              <w:right w:val="single" w:color="auto" w:sz="4" w:space="0"/>
            </w:tcBorders>
            <w:noWrap w:val="0"/>
            <w:vAlign w:val="center"/>
          </w:tcPr>
          <w:p>
            <w:pPr>
              <w:widowControl/>
              <w:spacing w:line="360" w:lineRule="auto"/>
              <w:jc w:val="left"/>
              <w:rPr>
                <w:rFonts w:hint="eastAsia" w:ascii="仿宋" w:hAnsi="仿宋" w:eastAsia="仿宋" w:cs="仿宋"/>
                <w:color w:val="auto"/>
                <w:kern w:val="0"/>
                <w:sz w:val="21"/>
                <w:szCs w:val="21"/>
                <w:highlight w:val="none"/>
                <w:lang w:val="en-US" w:eastAsia="zh-CN"/>
              </w:rPr>
            </w:pPr>
          </w:p>
        </w:tc>
        <w:tc>
          <w:tcPr>
            <w:tcW w:w="1465"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both"/>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光时域反射仪：通信设备运检一班3；通信设备运检二班4；通信调度班1</w:t>
            </w:r>
          </w:p>
        </w:tc>
      </w:tr>
      <w:tr>
        <w:tblPrEx>
          <w:tblCellMar>
            <w:top w:w="0" w:type="dxa"/>
            <w:left w:w="108" w:type="dxa"/>
            <w:bottom w:w="0" w:type="dxa"/>
            <w:right w:w="108" w:type="dxa"/>
          </w:tblCellMar>
        </w:tblPrEx>
        <w:trPr>
          <w:trHeight w:val="149" w:hRule="atLeast"/>
          <w:jc w:val="center"/>
        </w:trPr>
        <w:tc>
          <w:tcPr>
            <w:tcW w:w="230" w:type="pct"/>
            <w:vMerge w:val="continue"/>
            <w:tcBorders>
              <w:left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rPr>
            </w:pPr>
          </w:p>
        </w:tc>
        <w:tc>
          <w:tcPr>
            <w:tcW w:w="230" w:type="pct"/>
            <w:vMerge w:val="continue"/>
            <w:tcBorders>
              <w:left w:val="single" w:color="auto" w:sz="4" w:space="0"/>
              <w:right w:val="single" w:color="auto" w:sz="4" w:space="0"/>
            </w:tcBorders>
            <w:noWrap w:val="0"/>
            <w:vAlign w:val="center"/>
          </w:tcPr>
          <w:p>
            <w:pPr>
              <w:widowControl/>
              <w:spacing w:line="360" w:lineRule="auto"/>
              <w:jc w:val="left"/>
              <w:rPr>
                <w:rFonts w:hint="eastAsia" w:ascii="仿宋" w:hAnsi="仿宋" w:eastAsia="仿宋" w:cs="仿宋"/>
                <w:color w:val="auto"/>
                <w:kern w:val="0"/>
                <w:sz w:val="21"/>
                <w:szCs w:val="21"/>
                <w:highlight w:val="none"/>
              </w:rPr>
            </w:pPr>
          </w:p>
        </w:tc>
        <w:tc>
          <w:tcPr>
            <w:tcW w:w="974" w:type="pct"/>
            <w:vMerge w:val="continue"/>
            <w:tcBorders>
              <w:left w:val="single" w:color="auto" w:sz="4" w:space="0"/>
              <w:right w:val="single" w:color="auto" w:sz="4" w:space="0"/>
            </w:tcBorders>
            <w:noWrap w:val="0"/>
            <w:vAlign w:val="center"/>
          </w:tcPr>
          <w:p>
            <w:pPr>
              <w:keepNext w:val="0"/>
              <w:keepLines w:val="0"/>
              <w:widowControl/>
              <w:suppressLineNumbers w:val="0"/>
              <w:spacing w:line="360" w:lineRule="auto"/>
              <w:jc w:val="left"/>
              <w:textAlignment w:val="center"/>
              <w:rPr>
                <w:rFonts w:hint="eastAsia" w:ascii="仿宋" w:hAnsi="仿宋" w:eastAsia="仿宋" w:cs="仿宋"/>
                <w:color w:val="auto"/>
                <w:kern w:val="0"/>
                <w:sz w:val="21"/>
                <w:szCs w:val="21"/>
                <w:highlight w:val="none"/>
              </w:rPr>
            </w:pPr>
          </w:p>
        </w:tc>
        <w:tc>
          <w:tcPr>
            <w:tcW w:w="230"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台</w:t>
            </w:r>
          </w:p>
        </w:tc>
        <w:tc>
          <w:tcPr>
            <w:tcW w:w="230"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w:t>
            </w:r>
          </w:p>
        </w:tc>
        <w:tc>
          <w:tcPr>
            <w:tcW w:w="342"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i w:val="0"/>
                <w:color w:val="000000"/>
                <w:sz w:val="21"/>
                <w:szCs w:val="21"/>
                <w:u w:val="none"/>
                <w:lang w:val="en-US" w:eastAsia="zh-CN"/>
              </w:rPr>
            </w:pPr>
            <w:r>
              <w:rPr>
                <w:rFonts w:hint="eastAsia" w:ascii="仿宋" w:hAnsi="仿宋" w:eastAsia="仿宋" w:cs="仿宋"/>
                <w:color w:val="auto"/>
                <w:kern w:val="0"/>
                <w:sz w:val="21"/>
                <w:szCs w:val="21"/>
                <w:highlight w:val="none"/>
                <w:lang w:val="en-US" w:eastAsia="zh-CN"/>
              </w:rPr>
              <w:t>1000</w:t>
            </w:r>
          </w:p>
        </w:tc>
        <w:tc>
          <w:tcPr>
            <w:tcW w:w="402"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i w:val="0"/>
                <w:color w:val="000000"/>
                <w:sz w:val="21"/>
                <w:szCs w:val="21"/>
                <w:u w:val="none"/>
                <w:lang w:val="en-US" w:eastAsia="zh-CN"/>
              </w:rPr>
            </w:pPr>
            <w:r>
              <w:rPr>
                <w:rFonts w:hint="eastAsia" w:ascii="仿宋" w:hAnsi="仿宋" w:eastAsia="仿宋" w:cs="仿宋"/>
                <w:color w:val="auto"/>
                <w:kern w:val="0"/>
                <w:sz w:val="21"/>
                <w:szCs w:val="21"/>
                <w:highlight w:val="none"/>
                <w:lang w:val="en-US" w:eastAsia="zh-CN"/>
              </w:rPr>
              <w:t>9000</w:t>
            </w:r>
          </w:p>
        </w:tc>
        <w:tc>
          <w:tcPr>
            <w:tcW w:w="231" w:type="pct"/>
            <w:vMerge w:val="continue"/>
            <w:tcBorders>
              <w:left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p>
        </w:tc>
        <w:tc>
          <w:tcPr>
            <w:tcW w:w="342" w:type="pct"/>
            <w:vMerge w:val="continue"/>
            <w:tcBorders>
              <w:left w:val="single" w:color="auto" w:sz="4" w:space="0"/>
              <w:right w:val="single" w:color="auto" w:sz="4" w:space="0"/>
            </w:tcBorders>
            <w:noWrap w:val="0"/>
            <w:vAlign w:val="center"/>
          </w:tcPr>
          <w:p>
            <w:pPr>
              <w:widowControl/>
              <w:spacing w:line="360" w:lineRule="auto"/>
              <w:jc w:val="left"/>
              <w:rPr>
                <w:rFonts w:hint="eastAsia" w:ascii="仿宋" w:hAnsi="仿宋" w:eastAsia="仿宋" w:cs="仿宋"/>
                <w:color w:val="auto"/>
                <w:kern w:val="0"/>
                <w:sz w:val="21"/>
                <w:szCs w:val="21"/>
                <w:highlight w:val="none"/>
                <w:lang w:val="en-US" w:eastAsia="zh-CN" w:bidi="ar-SA"/>
              </w:rPr>
            </w:pPr>
          </w:p>
        </w:tc>
        <w:tc>
          <w:tcPr>
            <w:tcW w:w="318" w:type="pct"/>
            <w:vMerge w:val="continue"/>
            <w:tcBorders>
              <w:left w:val="single" w:color="auto" w:sz="4" w:space="0"/>
              <w:right w:val="single" w:color="auto" w:sz="4" w:space="0"/>
            </w:tcBorders>
            <w:noWrap w:val="0"/>
            <w:vAlign w:val="center"/>
          </w:tcPr>
          <w:p>
            <w:pPr>
              <w:widowControl/>
              <w:spacing w:line="360" w:lineRule="auto"/>
              <w:jc w:val="left"/>
              <w:rPr>
                <w:rFonts w:hint="eastAsia" w:ascii="仿宋" w:hAnsi="仿宋" w:eastAsia="仿宋" w:cs="仿宋"/>
                <w:color w:val="auto"/>
                <w:kern w:val="0"/>
                <w:sz w:val="21"/>
                <w:szCs w:val="21"/>
                <w:highlight w:val="none"/>
                <w:lang w:val="en-US" w:eastAsia="zh-CN"/>
              </w:rPr>
            </w:pPr>
          </w:p>
        </w:tc>
        <w:tc>
          <w:tcPr>
            <w:tcW w:w="1465"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both"/>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光纤熔接机：通信设备运检一班3；通信设备运检二班6；</w:t>
            </w:r>
          </w:p>
        </w:tc>
      </w:tr>
      <w:tr>
        <w:tblPrEx>
          <w:tblCellMar>
            <w:top w:w="0" w:type="dxa"/>
            <w:left w:w="108" w:type="dxa"/>
            <w:bottom w:w="0" w:type="dxa"/>
            <w:right w:w="108" w:type="dxa"/>
          </w:tblCellMar>
        </w:tblPrEx>
        <w:trPr>
          <w:trHeight w:val="112" w:hRule="atLeast"/>
          <w:jc w:val="center"/>
        </w:trPr>
        <w:tc>
          <w:tcPr>
            <w:tcW w:w="230" w:type="pct"/>
            <w:vMerge w:val="continue"/>
            <w:tcBorders>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p>
        </w:tc>
        <w:tc>
          <w:tcPr>
            <w:tcW w:w="230" w:type="pct"/>
            <w:vMerge w:val="continue"/>
            <w:tcBorders>
              <w:left w:val="single" w:color="auto" w:sz="4" w:space="0"/>
              <w:bottom w:val="single" w:color="auto" w:sz="4" w:space="0"/>
              <w:right w:val="single" w:color="auto" w:sz="4" w:space="0"/>
            </w:tcBorders>
            <w:noWrap w:val="0"/>
            <w:vAlign w:val="center"/>
          </w:tcPr>
          <w:p>
            <w:pPr>
              <w:widowControl/>
              <w:spacing w:line="360" w:lineRule="auto"/>
              <w:jc w:val="left"/>
              <w:rPr>
                <w:rFonts w:hint="eastAsia" w:ascii="仿宋" w:hAnsi="仿宋" w:eastAsia="仿宋" w:cs="仿宋"/>
                <w:i w:val="0"/>
                <w:color w:val="000000"/>
                <w:sz w:val="21"/>
                <w:szCs w:val="21"/>
                <w:u w:val="none"/>
                <w:lang w:val="en-US" w:eastAsia="zh-CN"/>
              </w:rPr>
            </w:pPr>
          </w:p>
        </w:tc>
        <w:tc>
          <w:tcPr>
            <w:tcW w:w="974" w:type="pct"/>
            <w:vMerge w:val="continue"/>
            <w:tcBorders>
              <w:left w:val="single" w:color="auto" w:sz="4" w:space="0"/>
              <w:bottom w:val="single" w:color="auto" w:sz="4" w:space="0"/>
              <w:right w:val="single" w:color="auto" w:sz="4" w:space="0"/>
            </w:tcBorders>
            <w:noWrap w:val="0"/>
            <w:vAlign w:val="center"/>
          </w:tcPr>
          <w:p>
            <w:pPr>
              <w:keepNext w:val="0"/>
              <w:keepLines w:val="0"/>
              <w:widowControl/>
              <w:suppressLineNumbers w:val="0"/>
              <w:spacing w:line="360" w:lineRule="auto"/>
              <w:jc w:val="left"/>
              <w:textAlignment w:val="center"/>
              <w:rPr>
                <w:rFonts w:hint="eastAsia" w:ascii="仿宋" w:hAnsi="仿宋" w:eastAsia="仿宋" w:cs="仿宋"/>
                <w:i w:val="0"/>
                <w:color w:val="000000"/>
                <w:kern w:val="0"/>
                <w:sz w:val="21"/>
                <w:szCs w:val="21"/>
                <w:u w:val="none"/>
                <w:lang w:val="en-US" w:eastAsia="zh-CN" w:bidi="ar"/>
              </w:rPr>
            </w:pPr>
          </w:p>
        </w:tc>
        <w:tc>
          <w:tcPr>
            <w:tcW w:w="230"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台</w:t>
            </w:r>
          </w:p>
        </w:tc>
        <w:tc>
          <w:tcPr>
            <w:tcW w:w="230"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7</w:t>
            </w:r>
          </w:p>
        </w:tc>
        <w:tc>
          <w:tcPr>
            <w:tcW w:w="342"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i w:val="0"/>
                <w:color w:val="000000"/>
                <w:sz w:val="21"/>
                <w:szCs w:val="21"/>
                <w:u w:val="none"/>
                <w:lang w:val="en-US" w:eastAsia="zh-CN"/>
              </w:rPr>
            </w:pPr>
            <w:r>
              <w:rPr>
                <w:rFonts w:hint="eastAsia" w:ascii="仿宋" w:hAnsi="仿宋" w:eastAsia="仿宋" w:cs="仿宋"/>
                <w:color w:val="auto"/>
                <w:kern w:val="0"/>
                <w:sz w:val="21"/>
                <w:szCs w:val="21"/>
                <w:highlight w:val="none"/>
                <w:lang w:val="en-US" w:eastAsia="zh-CN"/>
              </w:rPr>
              <w:t>1200</w:t>
            </w:r>
          </w:p>
        </w:tc>
        <w:tc>
          <w:tcPr>
            <w:tcW w:w="402"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i w:val="0"/>
                <w:color w:val="000000"/>
                <w:sz w:val="21"/>
                <w:szCs w:val="21"/>
                <w:u w:val="none"/>
                <w:lang w:val="en-US" w:eastAsia="zh-CN"/>
              </w:rPr>
            </w:pPr>
            <w:r>
              <w:rPr>
                <w:rFonts w:hint="eastAsia" w:ascii="仿宋" w:hAnsi="仿宋" w:eastAsia="仿宋" w:cs="仿宋"/>
                <w:color w:val="auto"/>
                <w:kern w:val="0"/>
                <w:sz w:val="21"/>
                <w:szCs w:val="21"/>
                <w:highlight w:val="none"/>
                <w:lang w:val="en-US" w:eastAsia="zh-CN"/>
              </w:rPr>
              <w:t>8400</w:t>
            </w:r>
          </w:p>
        </w:tc>
        <w:tc>
          <w:tcPr>
            <w:tcW w:w="231" w:type="pct"/>
            <w:vMerge w:val="continue"/>
            <w:tcBorders>
              <w:left w:val="single" w:color="auto" w:sz="4" w:space="0"/>
              <w:right w:val="single" w:color="auto" w:sz="4" w:space="0"/>
            </w:tcBorders>
            <w:noWrap w:val="0"/>
            <w:vAlign w:val="center"/>
          </w:tcPr>
          <w:p>
            <w:pPr>
              <w:widowControl/>
              <w:spacing w:line="360" w:lineRule="auto"/>
              <w:jc w:val="center"/>
              <w:rPr>
                <w:rFonts w:hint="eastAsia" w:ascii="仿宋" w:hAnsi="仿宋" w:eastAsia="仿宋" w:cs="仿宋"/>
                <w:color w:val="auto"/>
                <w:kern w:val="0"/>
                <w:sz w:val="21"/>
                <w:szCs w:val="21"/>
                <w:highlight w:val="none"/>
                <w:lang w:val="en-US" w:eastAsia="zh-CN"/>
              </w:rPr>
            </w:pPr>
          </w:p>
        </w:tc>
        <w:tc>
          <w:tcPr>
            <w:tcW w:w="342" w:type="pct"/>
            <w:vMerge w:val="continue"/>
            <w:tcBorders>
              <w:left w:val="single" w:color="auto" w:sz="4" w:space="0"/>
              <w:right w:val="single" w:color="auto" w:sz="4" w:space="0"/>
            </w:tcBorders>
            <w:noWrap w:val="0"/>
            <w:vAlign w:val="center"/>
          </w:tcPr>
          <w:p>
            <w:pPr>
              <w:widowControl/>
              <w:spacing w:line="360" w:lineRule="auto"/>
              <w:jc w:val="left"/>
              <w:rPr>
                <w:rFonts w:hint="eastAsia" w:ascii="仿宋" w:hAnsi="仿宋" w:eastAsia="仿宋" w:cs="仿宋"/>
                <w:color w:val="auto"/>
                <w:kern w:val="0"/>
                <w:sz w:val="21"/>
                <w:szCs w:val="21"/>
                <w:highlight w:val="none"/>
                <w:lang w:val="en-US" w:eastAsia="zh-CN" w:bidi="ar-SA"/>
              </w:rPr>
            </w:pPr>
          </w:p>
        </w:tc>
        <w:tc>
          <w:tcPr>
            <w:tcW w:w="318" w:type="pct"/>
            <w:vMerge w:val="continue"/>
            <w:tcBorders>
              <w:left w:val="single" w:color="auto" w:sz="4" w:space="0"/>
              <w:right w:val="single" w:color="auto" w:sz="4" w:space="0"/>
            </w:tcBorders>
            <w:noWrap w:val="0"/>
            <w:vAlign w:val="center"/>
          </w:tcPr>
          <w:p>
            <w:pPr>
              <w:widowControl/>
              <w:spacing w:line="360" w:lineRule="auto"/>
              <w:jc w:val="left"/>
              <w:rPr>
                <w:rFonts w:hint="eastAsia" w:ascii="仿宋" w:hAnsi="仿宋" w:eastAsia="仿宋" w:cs="仿宋"/>
                <w:color w:val="auto"/>
                <w:kern w:val="0"/>
                <w:sz w:val="21"/>
                <w:szCs w:val="21"/>
                <w:highlight w:val="none"/>
                <w:lang w:val="en-US" w:eastAsia="zh-CN"/>
              </w:rPr>
            </w:pPr>
          </w:p>
        </w:tc>
        <w:tc>
          <w:tcPr>
            <w:tcW w:w="1465"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both"/>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2Mb/s误码仪：通信设备运检一班2；通信设备运检二班3；通信调度班2</w:t>
            </w:r>
          </w:p>
        </w:tc>
      </w:tr>
      <w:tr>
        <w:tblPrEx>
          <w:tblCellMar>
            <w:top w:w="0" w:type="dxa"/>
            <w:left w:w="108" w:type="dxa"/>
            <w:bottom w:w="0" w:type="dxa"/>
            <w:right w:w="108" w:type="dxa"/>
          </w:tblCellMar>
        </w:tblPrEx>
        <w:trPr>
          <w:trHeight w:val="90" w:hRule="atLeast"/>
          <w:jc w:val="center"/>
        </w:trPr>
        <w:tc>
          <w:tcPr>
            <w:tcW w:w="2238" w:type="pct"/>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合计</w:t>
            </w:r>
          </w:p>
        </w:tc>
        <w:tc>
          <w:tcPr>
            <w:tcW w:w="402" w:type="pct"/>
            <w:tcBorders>
              <w:top w:val="single" w:color="auto" w:sz="4" w:space="0"/>
              <w:left w:val="nil"/>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b/>
                <w:bCs/>
                <w:color w:val="auto"/>
                <w:kern w:val="0"/>
                <w:sz w:val="21"/>
                <w:szCs w:val="21"/>
                <w:highlight w:val="none"/>
                <w:lang w:val="en-US" w:eastAsia="zh-CN"/>
              </w:rPr>
            </w:pPr>
            <w:r>
              <w:rPr>
                <w:rFonts w:hint="eastAsia" w:ascii="仿宋" w:hAnsi="仿宋" w:eastAsia="仿宋" w:cs="仿宋"/>
                <w:b/>
                <w:bCs/>
                <w:color w:val="auto"/>
                <w:kern w:val="0"/>
                <w:sz w:val="21"/>
                <w:szCs w:val="21"/>
                <w:highlight w:val="none"/>
                <w:lang w:val="en-US" w:eastAsia="zh-CN"/>
              </w:rPr>
              <w:t>85800</w:t>
            </w:r>
          </w:p>
        </w:tc>
        <w:tc>
          <w:tcPr>
            <w:tcW w:w="231" w:type="pct"/>
            <w:vMerge w:val="continue"/>
            <w:tcBorders>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b/>
                <w:bCs/>
                <w:color w:val="auto"/>
                <w:kern w:val="0"/>
                <w:sz w:val="21"/>
                <w:szCs w:val="21"/>
                <w:highlight w:val="none"/>
              </w:rPr>
            </w:pPr>
          </w:p>
        </w:tc>
        <w:tc>
          <w:tcPr>
            <w:tcW w:w="342" w:type="pct"/>
            <w:vMerge w:val="continue"/>
            <w:tcBorders>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b/>
                <w:bCs/>
                <w:color w:val="auto"/>
                <w:kern w:val="0"/>
                <w:sz w:val="21"/>
                <w:szCs w:val="21"/>
                <w:highlight w:val="none"/>
              </w:rPr>
            </w:pPr>
          </w:p>
        </w:tc>
        <w:tc>
          <w:tcPr>
            <w:tcW w:w="318" w:type="pct"/>
            <w:vMerge w:val="continue"/>
            <w:tcBorders>
              <w:left w:val="single" w:color="auto" w:sz="4" w:space="0"/>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b/>
                <w:bCs/>
                <w:color w:val="auto"/>
                <w:kern w:val="0"/>
                <w:sz w:val="21"/>
                <w:szCs w:val="21"/>
                <w:highlight w:val="none"/>
              </w:rPr>
            </w:pPr>
          </w:p>
        </w:tc>
        <w:tc>
          <w:tcPr>
            <w:tcW w:w="1465" w:type="pct"/>
            <w:tcBorders>
              <w:top w:val="single" w:color="auto" w:sz="4" w:space="0"/>
              <w:left w:val="nil"/>
              <w:bottom w:val="single" w:color="auto" w:sz="4" w:space="0"/>
              <w:right w:val="single" w:color="auto" w:sz="4" w:space="0"/>
            </w:tcBorders>
            <w:noWrap w:val="0"/>
            <w:vAlign w:val="center"/>
          </w:tcPr>
          <w:p>
            <w:pPr>
              <w:widowControl/>
              <w:spacing w:line="360" w:lineRule="auto"/>
              <w:jc w:val="center"/>
              <w:rPr>
                <w:rFonts w:hint="eastAsia" w:ascii="仿宋" w:hAnsi="仿宋" w:eastAsia="仿宋" w:cs="仿宋"/>
                <w:b/>
                <w:bCs/>
                <w:color w:val="auto"/>
                <w:kern w:val="0"/>
                <w:sz w:val="21"/>
                <w:szCs w:val="21"/>
                <w:highlight w:val="none"/>
              </w:rPr>
            </w:pPr>
          </w:p>
        </w:tc>
      </w:tr>
    </w:tbl>
    <w:p>
      <w:pPr>
        <w:pStyle w:val="17"/>
        <w:spacing w:line="360" w:lineRule="auto"/>
        <w:ind w:left="0" w:leftChars="0" w:firstLine="0" w:firstLineChars="0"/>
        <w:jc w:val="both"/>
        <w:outlineLvl w:val="2"/>
        <w:rPr>
          <w:rFonts w:hint="eastAsia" w:ascii="仿宋" w:hAnsi="仿宋" w:eastAsia="仿宋" w:cs="仿宋"/>
          <w:b/>
          <w:bCs/>
          <w:color w:val="auto"/>
          <w:sz w:val="21"/>
          <w:szCs w:val="21"/>
          <w:highlight w:val="none"/>
          <w:lang w:val="en-US" w:eastAsia="zh-CN"/>
        </w:rPr>
        <w:sectPr>
          <w:pgSz w:w="11906" w:h="16838"/>
          <w:pgMar w:top="1440" w:right="1800" w:bottom="1440" w:left="1800" w:header="851" w:footer="992" w:gutter="0"/>
          <w:pgNumType w:fmt="decimal"/>
          <w:cols w:space="720" w:num="1"/>
          <w:docGrid w:type="lines" w:linePitch="312" w:charSpace="0"/>
        </w:sectPr>
      </w:pPr>
    </w:p>
    <w:p>
      <w:pPr>
        <w:pStyle w:val="17"/>
        <w:spacing w:line="360" w:lineRule="auto"/>
        <w:ind w:left="0" w:leftChars="0" w:firstLine="0" w:firstLineChars="0"/>
        <w:jc w:val="center"/>
        <w:outlineLvl w:val="1"/>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标段24 监控设施维保</w:t>
      </w:r>
      <w:r>
        <w:rPr>
          <w:rFonts w:hint="eastAsia" w:ascii="仿宋" w:hAnsi="仿宋" w:eastAsia="仿宋" w:cs="仿宋"/>
          <w:b/>
          <w:color w:val="auto"/>
          <w:sz w:val="21"/>
          <w:szCs w:val="21"/>
          <w:highlight w:val="none"/>
          <w:lang w:val="en-US" w:eastAsia="zh-CN"/>
        </w:rPr>
        <w:t>分项报价明细表</w:t>
      </w:r>
    </w:p>
    <w:tbl>
      <w:tblPr>
        <w:tblStyle w:val="9"/>
        <w:tblW w:w="547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8"/>
        <w:gridCol w:w="1922"/>
        <w:gridCol w:w="1804"/>
        <w:gridCol w:w="579"/>
        <w:gridCol w:w="652"/>
        <w:gridCol w:w="901"/>
        <w:gridCol w:w="1274"/>
        <w:gridCol w:w="1019"/>
        <w:gridCol w:w="14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5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94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维护设备名称</w:t>
            </w:r>
          </w:p>
        </w:tc>
        <w:tc>
          <w:tcPr>
            <w:tcW w:w="88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维保设备规格</w:t>
            </w:r>
          </w:p>
        </w:tc>
        <w:tc>
          <w:tcPr>
            <w:tcW w:w="2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3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金额</w:t>
            </w:r>
          </w:p>
        </w:tc>
        <w:tc>
          <w:tcPr>
            <w:tcW w:w="5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项目部门</w:t>
            </w: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761" w:type="pct"/>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鄂尔多斯供电公司营业场所监控设施维保</w:t>
            </w:r>
          </w:p>
        </w:tc>
        <w:tc>
          <w:tcPr>
            <w:tcW w:w="501"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u w:val="none"/>
              </w:rPr>
            </w:pPr>
          </w:p>
        </w:tc>
        <w:tc>
          <w:tcPr>
            <w:tcW w:w="737"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5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鄂尔多斯供电公司营业场所监控设施维保-视频监控设备</w:t>
            </w:r>
          </w:p>
        </w:tc>
        <w:tc>
          <w:tcPr>
            <w:tcW w:w="88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3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1500.00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96000.00 </w:t>
            </w:r>
          </w:p>
        </w:tc>
        <w:tc>
          <w:tcPr>
            <w:tcW w:w="50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营销服务部</w:t>
            </w: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5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鄂尔多斯供电公司营业场所监控设施维保-排队叫号机</w:t>
            </w:r>
          </w:p>
        </w:tc>
        <w:tc>
          <w:tcPr>
            <w:tcW w:w="88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3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1500.00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93000.00 </w:t>
            </w:r>
          </w:p>
        </w:tc>
        <w:tc>
          <w:tcPr>
            <w:tcW w:w="50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25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鄂尔多斯供电公司营业场所监控设施维保-体验设备</w:t>
            </w:r>
          </w:p>
        </w:tc>
        <w:tc>
          <w:tcPr>
            <w:tcW w:w="88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3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1500.00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42000.00 </w:t>
            </w:r>
          </w:p>
        </w:tc>
        <w:tc>
          <w:tcPr>
            <w:tcW w:w="50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0" w:hRule="atLeast"/>
        </w:trPr>
        <w:tc>
          <w:tcPr>
            <w:tcW w:w="2371"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320"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bCs/>
                <w:i w:val="0"/>
                <w:iCs w:val="0"/>
                <w:color w:val="000000"/>
                <w:sz w:val="22"/>
                <w:szCs w:val="22"/>
                <w:u w:val="none"/>
              </w:rPr>
            </w:pPr>
          </w:p>
        </w:tc>
        <w:tc>
          <w:tcPr>
            <w:tcW w:w="443"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bCs/>
                <w:i w:val="0"/>
                <w:iCs w:val="0"/>
                <w:color w:val="000000"/>
                <w:sz w:val="22"/>
                <w:szCs w:val="22"/>
                <w:u w:val="none"/>
              </w:rPr>
            </w:pP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231000.00 </w:t>
            </w:r>
          </w:p>
        </w:tc>
        <w:tc>
          <w:tcPr>
            <w:tcW w:w="501"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bCs/>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761"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乌审供电公司监控维保</w:t>
            </w:r>
          </w:p>
        </w:tc>
        <w:tc>
          <w:tcPr>
            <w:tcW w:w="501"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硬盘录像机</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110.00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770.00 </w:t>
            </w:r>
          </w:p>
        </w:tc>
        <w:tc>
          <w:tcPr>
            <w:tcW w:w="50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乌审供电公司</w:t>
            </w: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摄像机</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25.00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2400.00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硬盘</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3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490.00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电梯监控网桥</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w:t>
            </w:r>
          </w:p>
        </w:tc>
        <w:tc>
          <w:tcPr>
            <w:tcW w:w="3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100.00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大屏</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3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400.00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2400.00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4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摄像机电源</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3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1920.00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4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线材及系统软件</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3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1500.00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1500.00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371"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320"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bCs/>
                <w:i w:val="0"/>
                <w:iCs w:val="0"/>
                <w:color w:val="000000"/>
                <w:sz w:val="22"/>
                <w:szCs w:val="22"/>
                <w:u w:val="none"/>
              </w:rPr>
            </w:pPr>
          </w:p>
        </w:tc>
        <w:tc>
          <w:tcPr>
            <w:tcW w:w="443"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bCs/>
                <w:i w:val="0"/>
                <w:iCs w:val="0"/>
                <w:color w:val="000000"/>
                <w:sz w:val="22"/>
                <w:szCs w:val="22"/>
                <w:u w:val="none"/>
              </w:rPr>
            </w:pP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9680.00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761"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东区监控</w:t>
            </w:r>
          </w:p>
        </w:tc>
        <w:tc>
          <w:tcPr>
            <w:tcW w:w="50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综合事务中心</w:t>
            </w:r>
          </w:p>
        </w:tc>
        <w:tc>
          <w:tcPr>
            <w:tcW w:w="737"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每个季度检修运维1次，主要设备故障上报给甲方采购，维保包含常用的维修必要的配件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46寸LCD液晶屏</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598.90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3593.40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50寸液晶电视</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598.90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598.90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电脑</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397.76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795.52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摄像机</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479.12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46474.64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硬盘录像机</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598.90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1796.70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761"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北区监控</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46寸LCD液晶屏</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598.90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3593.40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46寸LCD液晶屏</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598.90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7186.80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电脑</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397.76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1193.28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摄像机</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479.12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52224.08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硬盘录像机</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598.90 </w:t>
            </w: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2994.50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2371"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2"/>
                <w:szCs w:val="22"/>
                <w:u w:val="none"/>
              </w:rPr>
            </w:pP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2"/>
                <w:szCs w:val="22"/>
                <w:u w:val="none"/>
              </w:rPr>
            </w:pPr>
          </w:p>
        </w:tc>
        <w:tc>
          <w:tcPr>
            <w:tcW w:w="62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120451.22</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761"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生产调度楼安防监控系统</w:t>
            </w:r>
          </w:p>
        </w:tc>
        <w:tc>
          <w:tcPr>
            <w:tcW w:w="50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综合事务中心</w:t>
            </w: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综合管理平台一体机</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iVMS-3000C-H16</w:t>
            </w: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流媒体服务器</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DS-96128N-I16</w:t>
            </w: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存储管理服务器</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DS-96128N-I16</w:t>
            </w: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运维管理服务器</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DS-VE22S-B</w:t>
            </w: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100.00 </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智能存储服务器</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DS-A80624S</w:t>
            </w: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110.00 </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存储磁盘阵列</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DS-A71024R</w:t>
            </w: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80.00 </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160.00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46寸液晶拼接屏</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DS-D2046NH-C</w:t>
            </w: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80.00 </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1440.00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拼接控制器</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DS-C10S-S11T</w:t>
            </w: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78.00 </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78.00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高清解码器</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DS-6916UD</w:t>
            </w: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88.00 </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32寸监视器</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DS-D5032FC-A</w:t>
            </w: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88.00 </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264.00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高清网络球机</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iDS-2DE7232IX-A/S1</w:t>
            </w: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100.00 </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1500.00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星光级枪机</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DS-2CD2T46FWDA2-IS</w:t>
            </w: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92.00 </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5704.00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高清红外半球摄像机</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DS-2CD2346FWDA1-IS</w:t>
            </w: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94.00 </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29986.00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高清摄像机</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DS-2CD2T46FWDA2-IS</w:t>
            </w: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90.00 </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1440.00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71"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2"/>
                <w:szCs w:val="22"/>
                <w:u w:val="none"/>
              </w:rPr>
            </w:pP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2"/>
                <w:szCs w:val="22"/>
                <w:u w:val="none"/>
              </w:rPr>
            </w:pPr>
          </w:p>
        </w:tc>
        <w:tc>
          <w:tcPr>
            <w:tcW w:w="6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42000.00 </w:t>
            </w:r>
          </w:p>
        </w:tc>
        <w:tc>
          <w:tcPr>
            <w:tcW w:w="5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371"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2"/>
                <w:szCs w:val="22"/>
                <w:u w:val="none"/>
              </w:rPr>
            </w:pPr>
          </w:p>
        </w:tc>
        <w:tc>
          <w:tcPr>
            <w:tcW w:w="443"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2"/>
                <w:szCs w:val="22"/>
                <w:u w:val="none"/>
              </w:rPr>
            </w:pPr>
          </w:p>
        </w:tc>
        <w:tc>
          <w:tcPr>
            <w:tcW w:w="6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403131.22</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2"/>
                <w:szCs w:val="22"/>
                <w:u w:val="none"/>
              </w:rPr>
            </w:pP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2"/>
                <w:szCs w:val="22"/>
                <w:u w:val="none"/>
              </w:rPr>
            </w:pPr>
          </w:p>
        </w:tc>
      </w:tr>
    </w:tbl>
    <w:p>
      <w:pPr>
        <w:pStyle w:val="2"/>
        <w:rPr>
          <w:rFonts w:hint="eastAsia"/>
        </w:rPr>
        <w:sectPr>
          <w:footerReference r:id="rId3" w:type="default"/>
          <w:pgSz w:w="11905" w:h="16838"/>
          <w:pgMar w:top="1701" w:right="1417" w:bottom="1701" w:left="1417" w:header="850" w:footer="992" w:gutter="0"/>
          <w:pgNumType w:fmt="decimal"/>
          <w:cols w:space="0" w:num="1"/>
          <w:titlePg/>
          <w:rtlGutter w:val="0"/>
          <w:docGrid w:type="lines" w:linePitch="328" w:charSpace="0"/>
        </w:sectPr>
      </w:pPr>
    </w:p>
    <w:p>
      <w:pPr>
        <w:spacing w:line="360" w:lineRule="auto"/>
        <w:jc w:val="left"/>
        <w:rPr>
          <w:rFonts w:hint="eastAsia" w:ascii="仿宋" w:hAnsi="仿宋" w:eastAsia="仿宋" w:cs="仿宋"/>
          <w:b/>
          <w:sz w:val="24"/>
          <w:highlight w:val="none"/>
        </w:rPr>
      </w:pPr>
      <w:r>
        <w:rPr>
          <w:rFonts w:hint="eastAsia" w:ascii="仿宋" w:hAnsi="仿宋" w:eastAsia="仿宋" w:cs="仿宋"/>
          <w:b/>
          <w:sz w:val="28"/>
          <w:szCs w:val="28"/>
          <w:highlight w:val="none"/>
        </w:rPr>
        <w:t>附件</w:t>
      </w:r>
      <w:r>
        <w:rPr>
          <w:rFonts w:hint="eastAsia" w:ascii="仿宋" w:hAnsi="仿宋" w:eastAsia="仿宋" w:cs="仿宋"/>
          <w:b/>
          <w:sz w:val="28"/>
          <w:szCs w:val="28"/>
          <w:highlight w:val="none"/>
          <w:lang w:val="en-US" w:eastAsia="zh-CN"/>
        </w:rPr>
        <w:t>1</w:t>
      </w:r>
      <w:r>
        <w:rPr>
          <w:rFonts w:hint="eastAsia" w:ascii="仿宋" w:hAnsi="仿宋" w:eastAsia="仿宋" w:cs="仿宋"/>
          <w:b/>
          <w:sz w:val="28"/>
          <w:szCs w:val="28"/>
          <w:highlight w:val="none"/>
        </w:rPr>
        <w:t>：</w:t>
      </w:r>
    </w:p>
    <w:p>
      <w:pPr>
        <w:spacing w:line="360" w:lineRule="auto"/>
        <w:jc w:val="center"/>
        <w:rPr>
          <w:rFonts w:hint="eastAsia" w:ascii="仿宋" w:hAnsi="仿宋" w:eastAsia="仿宋" w:cs="仿宋"/>
          <w:b/>
          <w:bCs/>
          <w:sz w:val="44"/>
          <w:szCs w:val="44"/>
          <w:highlight w:val="none"/>
        </w:rPr>
      </w:pPr>
      <w:r>
        <w:rPr>
          <w:rFonts w:hint="eastAsia" w:ascii="仿宋" w:hAnsi="仿宋" w:eastAsia="仿宋" w:cs="仿宋"/>
          <w:b/>
          <w:bCs/>
          <w:sz w:val="44"/>
          <w:szCs w:val="44"/>
          <w:highlight w:val="none"/>
        </w:rPr>
        <w:t>《响应真实性承诺书》</w:t>
      </w:r>
    </w:p>
    <w:p>
      <w:pPr>
        <w:pStyle w:val="8"/>
        <w:spacing w:line="360" w:lineRule="auto"/>
        <w:rPr>
          <w:rFonts w:hint="eastAsia" w:ascii="仿宋" w:hAnsi="仿宋" w:eastAsia="仿宋" w:cs="仿宋"/>
          <w:highlight w:val="none"/>
        </w:rPr>
      </w:pPr>
    </w:p>
    <w:p>
      <w:pPr>
        <w:adjustRightInd w:val="0"/>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内蒙古电力（集团）有限责任公司鄂尔多斯供电分公司物资供应处：</w:t>
      </w:r>
    </w:p>
    <w:p>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我公司参与贵公司组织采购的</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（项目名称），我公司承诺所提交的材料、响应文件表述、响应文件内容是真实有效的。如有不实，则违反“诚实信用”原则，我公司承担由此引发的所有责任。</w:t>
      </w:r>
    </w:p>
    <w:p>
      <w:pPr>
        <w:adjustRightInd w:val="0"/>
        <w:snapToGrid w:val="0"/>
        <w:spacing w:line="360" w:lineRule="auto"/>
        <w:rPr>
          <w:rFonts w:hint="eastAsia" w:ascii="仿宋" w:hAnsi="仿宋" w:eastAsia="仿宋" w:cs="仿宋"/>
          <w:sz w:val="24"/>
          <w:highlight w:val="none"/>
        </w:rPr>
      </w:pPr>
    </w:p>
    <w:p>
      <w:pPr>
        <w:adjustRightInd w:val="0"/>
        <w:snapToGrid w:val="0"/>
        <w:spacing w:line="360" w:lineRule="auto"/>
        <w:rPr>
          <w:rFonts w:hint="eastAsia" w:ascii="仿宋" w:hAnsi="仿宋" w:eastAsia="仿宋" w:cs="仿宋"/>
          <w:sz w:val="24"/>
          <w:highlight w:val="none"/>
        </w:rPr>
      </w:pP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2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962" w:type="dxa"/>
            <w:shd w:val="clear" w:color="auto" w:fill="FFFFFF"/>
          </w:tcPr>
          <w:p>
            <w:pPr>
              <w:adjustRightInd w:val="0"/>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供 应 商：                      （盖单位章）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962" w:type="dxa"/>
            <w:shd w:val="clear" w:color="auto" w:fill="FFFFFF"/>
          </w:tcPr>
          <w:p>
            <w:pPr>
              <w:adjustRightInd w:val="0"/>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法定代表人或其委托代理人：          （签字）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962" w:type="dxa"/>
            <w:shd w:val="clear" w:color="auto" w:fill="FFFFFF"/>
          </w:tcPr>
          <w:p>
            <w:pPr>
              <w:wordWrap w:val="0"/>
              <w:adjustRightInd w:val="0"/>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 xml:space="preserve">地址：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962" w:type="dxa"/>
            <w:shd w:val="clear" w:color="auto" w:fill="FFFFFF"/>
          </w:tcPr>
          <w:p>
            <w:pPr>
              <w:adjustRightInd w:val="0"/>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 xml:space="preserve">电话：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962" w:type="dxa"/>
            <w:shd w:val="clear" w:color="auto" w:fill="FFFFFF"/>
          </w:tcPr>
          <w:p>
            <w:pPr>
              <w:adjustRightInd w:val="0"/>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 xml:space="preserve">        年        月        日</w:t>
            </w:r>
          </w:p>
        </w:tc>
      </w:tr>
    </w:tbl>
    <w:p>
      <w:pPr>
        <w:spacing w:line="360"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br w:type="page"/>
      </w:r>
    </w:p>
    <w:p>
      <w:pPr>
        <w:spacing w:line="360" w:lineRule="auto"/>
        <w:jc w:val="left"/>
        <w:rPr>
          <w:rFonts w:hint="eastAsia" w:ascii="仿宋" w:hAnsi="仿宋" w:eastAsia="仿宋" w:cs="仿宋"/>
          <w:b/>
          <w:bCs/>
          <w:sz w:val="28"/>
          <w:szCs w:val="28"/>
          <w:highlight w:val="none"/>
          <w:lang w:eastAsia="zh-CN"/>
        </w:rPr>
      </w:pPr>
      <w:r>
        <w:rPr>
          <w:rFonts w:hint="eastAsia" w:ascii="仿宋" w:hAnsi="仿宋" w:eastAsia="仿宋" w:cs="仿宋"/>
          <w:b/>
          <w:sz w:val="28"/>
          <w:szCs w:val="28"/>
          <w:highlight w:val="none"/>
        </w:rPr>
        <w:t>附件：</w:t>
      </w:r>
      <w:r>
        <w:rPr>
          <w:rFonts w:hint="eastAsia" w:ascii="仿宋" w:hAnsi="仿宋" w:eastAsia="仿宋" w:cs="仿宋"/>
          <w:b/>
          <w:sz w:val="28"/>
          <w:szCs w:val="28"/>
          <w:highlight w:val="none"/>
          <w:lang w:val="en-US" w:eastAsia="zh-CN"/>
        </w:rPr>
        <w:t>2</w:t>
      </w:r>
    </w:p>
    <w:p>
      <w:pPr>
        <w:spacing w:line="360" w:lineRule="auto"/>
        <w:jc w:val="center"/>
        <w:rPr>
          <w:rFonts w:hint="eastAsia" w:ascii="仿宋" w:hAnsi="仿宋" w:eastAsia="仿宋" w:cs="仿宋"/>
          <w:b/>
          <w:bCs/>
          <w:sz w:val="28"/>
          <w:szCs w:val="28"/>
          <w:highlight w:val="none"/>
        </w:rPr>
      </w:pPr>
      <w:r>
        <w:rPr>
          <w:rFonts w:hint="eastAsia" w:ascii="仿宋" w:hAnsi="仿宋" w:eastAsia="仿宋" w:cs="仿宋"/>
          <w:b/>
          <w:bCs/>
          <w:sz w:val="44"/>
          <w:szCs w:val="44"/>
          <w:highlight w:val="none"/>
        </w:rPr>
        <w:t>法定代表人资格证明</w:t>
      </w:r>
    </w:p>
    <w:p>
      <w:pPr>
        <w:autoSpaceDE w:val="0"/>
        <w:autoSpaceDN w:val="0"/>
        <w:spacing w:line="360" w:lineRule="auto"/>
        <w:jc w:val="center"/>
        <w:rPr>
          <w:rFonts w:hint="eastAsia" w:ascii="仿宋" w:hAnsi="仿宋" w:eastAsia="仿宋" w:cs="仿宋"/>
          <w:kern w:val="0"/>
          <w:sz w:val="24"/>
          <w:highlight w:val="none"/>
        </w:rPr>
      </w:pPr>
      <w:r>
        <w:rPr>
          <w:rFonts w:hint="eastAsia" w:ascii="仿宋" w:hAnsi="仿宋" w:eastAsia="仿宋" w:cs="仿宋"/>
          <w:b/>
          <w:bCs/>
          <w:sz w:val="24"/>
          <w:highlight w:val="none"/>
        </w:rPr>
        <w:t>（适用于无代理人的情况）</w:t>
      </w:r>
    </w:p>
    <w:p>
      <w:pPr>
        <w:autoSpaceDE w:val="0"/>
        <w:autoSpaceDN w:val="0"/>
        <w:adjustRightInd w:val="0"/>
        <w:snapToGrid w:val="0"/>
        <w:spacing w:line="360" w:lineRule="auto"/>
        <w:rPr>
          <w:rFonts w:hint="eastAsia" w:ascii="仿宋" w:hAnsi="仿宋" w:eastAsia="仿宋" w:cs="仿宋"/>
          <w:kern w:val="0"/>
          <w:sz w:val="24"/>
          <w:highlight w:val="none"/>
          <w:u w:val="single"/>
        </w:rPr>
      </w:pPr>
      <w:r>
        <w:rPr>
          <w:rFonts w:hint="eastAsia" w:ascii="仿宋" w:hAnsi="仿宋" w:eastAsia="仿宋" w:cs="仿宋"/>
          <w:spacing w:val="6"/>
          <w:sz w:val="24"/>
          <w:highlight w:val="none"/>
        </w:rPr>
        <w:t>企业（供应商）</w:t>
      </w:r>
      <w:r>
        <w:rPr>
          <w:rFonts w:hint="eastAsia" w:ascii="仿宋" w:hAnsi="仿宋" w:eastAsia="仿宋" w:cs="仿宋"/>
          <w:kern w:val="0"/>
          <w:sz w:val="24"/>
          <w:highlight w:val="none"/>
        </w:rPr>
        <w:t>名称：</w:t>
      </w:r>
    </w:p>
    <w:p>
      <w:pPr>
        <w:autoSpaceDE w:val="0"/>
        <w:autoSpaceDN w:val="0"/>
        <w:adjustRightInd w:val="0"/>
        <w:snapToGrid w:val="0"/>
        <w:spacing w:line="360" w:lineRule="auto"/>
        <w:rPr>
          <w:rFonts w:hint="eastAsia" w:ascii="仿宋" w:hAnsi="仿宋" w:eastAsia="仿宋" w:cs="仿宋"/>
          <w:kern w:val="0"/>
          <w:sz w:val="24"/>
          <w:highlight w:val="none"/>
          <w:u w:val="single"/>
        </w:rPr>
      </w:pPr>
      <w:r>
        <w:rPr>
          <w:rFonts w:hint="eastAsia" w:ascii="仿宋" w:hAnsi="仿宋" w:eastAsia="仿宋" w:cs="仿宋"/>
          <w:kern w:val="0"/>
          <w:sz w:val="24"/>
          <w:highlight w:val="none"/>
        </w:rPr>
        <w:t>单位性质：</w:t>
      </w:r>
    </w:p>
    <w:p>
      <w:pPr>
        <w:autoSpaceDE w:val="0"/>
        <w:autoSpaceDN w:val="0"/>
        <w:adjustRightInd w:val="0"/>
        <w:snapToGrid w:val="0"/>
        <w:spacing w:line="360" w:lineRule="auto"/>
        <w:rPr>
          <w:rFonts w:hint="eastAsia" w:ascii="仿宋" w:hAnsi="仿宋" w:eastAsia="仿宋" w:cs="仿宋"/>
          <w:spacing w:val="6"/>
          <w:sz w:val="24"/>
          <w:highlight w:val="none"/>
          <w:u w:val="single"/>
        </w:rPr>
      </w:pPr>
      <w:r>
        <w:rPr>
          <w:rFonts w:hint="eastAsia" w:ascii="仿宋" w:hAnsi="仿宋" w:eastAsia="仿宋" w:cs="仿宋"/>
          <w:spacing w:val="6"/>
          <w:sz w:val="24"/>
          <w:highlight w:val="none"/>
        </w:rPr>
        <w:t>地    址：</w:t>
      </w:r>
    </w:p>
    <w:p>
      <w:pPr>
        <w:autoSpaceDE w:val="0"/>
        <w:autoSpaceDN w:val="0"/>
        <w:adjustRightInd w:val="0"/>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成立时间：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月</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日</w:t>
      </w:r>
    </w:p>
    <w:p>
      <w:pPr>
        <w:autoSpaceDE w:val="0"/>
        <w:autoSpaceDN w:val="0"/>
        <w:adjustRightInd w:val="0"/>
        <w:snapToGrid w:val="0"/>
        <w:spacing w:line="360" w:lineRule="auto"/>
        <w:rPr>
          <w:rFonts w:hint="eastAsia" w:ascii="仿宋" w:hAnsi="仿宋" w:eastAsia="仿宋" w:cs="仿宋"/>
          <w:kern w:val="0"/>
          <w:sz w:val="24"/>
          <w:highlight w:val="none"/>
          <w:u w:val="single"/>
        </w:rPr>
      </w:pPr>
      <w:r>
        <w:rPr>
          <w:rFonts w:hint="eastAsia" w:ascii="仿宋" w:hAnsi="仿宋" w:eastAsia="仿宋" w:cs="仿宋"/>
          <w:kern w:val="0"/>
          <w:sz w:val="24"/>
          <w:highlight w:val="none"/>
        </w:rPr>
        <w:t>经营期限：</w:t>
      </w:r>
    </w:p>
    <w:p>
      <w:pPr>
        <w:autoSpaceDE w:val="0"/>
        <w:autoSpaceDN w:val="0"/>
        <w:adjustRightInd w:val="0"/>
        <w:snapToGrid w:val="0"/>
        <w:spacing w:line="360" w:lineRule="auto"/>
        <w:rPr>
          <w:rFonts w:hint="eastAsia" w:ascii="仿宋" w:hAnsi="仿宋" w:eastAsia="仿宋" w:cs="仿宋"/>
          <w:kern w:val="0"/>
          <w:sz w:val="24"/>
          <w:highlight w:val="none"/>
          <w:u w:val="single"/>
        </w:rPr>
      </w:pPr>
      <w:r>
        <w:rPr>
          <w:rFonts w:hint="eastAsia" w:ascii="仿宋" w:hAnsi="仿宋" w:eastAsia="仿宋" w:cs="仿宋"/>
          <w:kern w:val="0"/>
          <w:sz w:val="24"/>
          <w:highlight w:val="none"/>
        </w:rPr>
        <w:t>姓名：</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性别：</w:t>
      </w:r>
    </w:p>
    <w:p>
      <w:pPr>
        <w:autoSpaceDE w:val="0"/>
        <w:autoSpaceDN w:val="0"/>
        <w:adjustRightInd w:val="0"/>
        <w:snapToGrid w:val="0"/>
        <w:spacing w:line="360" w:lineRule="auto"/>
        <w:rPr>
          <w:rFonts w:hint="eastAsia" w:ascii="仿宋" w:hAnsi="仿宋" w:eastAsia="仿宋" w:cs="仿宋"/>
          <w:kern w:val="0"/>
          <w:sz w:val="24"/>
          <w:highlight w:val="none"/>
          <w:u w:val="single"/>
        </w:rPr>
      </w:pPr>
      <w:r>
        <w:rPr>
          <w:rFonts w:hint="eastAsia" w:ascii="仿宋" w:hAnsi="仿宋" w:eastAsia="仿宋" w:cs="仿宋"/>
          <w:kern w:val="0"/>
          <w:sz w:val="24"/>
          <w:highlight w:val="none"/>
        </w:rPr>
        <w:t>年龄：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职务：</w:t>
      </w:r>
    </w:p>
    <w:p>
      <w:pPr>
        <w:autoSpaceDE w:val="0"/>
        <w:autoSpaceDN w:val="0"/>
        <w:adjustRightInd w:val="0"/>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系</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的法定代表人。</w:t>
      </w:r>
    </w:p>
    <w:p>
      <w:pPr>
        <w:autoSpaceDE w:val="0"/>
        <w:autoSpaceDN w:val="0"/>
        <w:spacing w:line="360" w:lineRule="auto"/>
        <w:jc w:val="left"/>
        <w:rPr>
          <w:rFonts w:hint="eastAsia" w:ascii="仿宋" w:hAnsi="仿宋" w:eastAsia="仿宋" w:cs="仿宋"/>
          <w:kern w:val="0"/>
          <w:sz w:val="24"/>
          <w:highlight w:val="none"/>
        </w:rPr>
      </w:pPr>
      <w:r>
        <w:rPr>
          <w:rFonts w:hint="eastAsia" w:ascii="仿宋" w:hAnsi="仿宋" w:eastAsia="仿宋" w:cs="仿宋"/>
          <w:color w:val="auto"/>
          <w:kern w:val="0"/>
          <w:sz w:val="24"/>
          <w:highlight w:val="none"/>
          <w:lang w:val="en-US" w:eastAsia="zh-CN"/>
        </w:rPr>
        <w:t>附：</w:t>
      </w:r>
      <w:r>
        <w:rPr>
          <w:rFonts w:hint="eastAsia" w:ascii="仿宋" w:hAnsi="仿宋" w:eastAsia="仿宋" w:cs="仿宋"/>
          <w:color w:val="auto"/>
          <w:kern w:val="0"/>
          <w:sz w:val="24"/>
          <w:highlight w:val="none"/>
        </w:rPr>
        <w:t>法定代表人居民身份证</w:t>
      </w:r>
      <w:r>
        <w:rPr>
          <w:rFonts w:hint="eastAsia" w:ascii="仿宋" w:hAnsi="仿宋" w:eastAsia="仿宋" w:cs="仿宋"/>
          <w:color w:val="auto"/>
          <w:kern w:val="0"/>
          <w:sz w:val="24"/>
          <w:highlight w:val="none"/>
          <w:lang w:val="en-US" w:eastAsia="zh-CN"/>
        </w:rPr>
        <w:t>正反面扫描件</w:t>
      </w:r>
    </w:p>
    <w:tbl>
      <w:tblPr>
        <w:tblStyle w:val="9"/>
        <w:tblpPr w:leftFromText="180" w:rightFromText="180" w:vertAnchor="text" w:horzAnchor="margin" w:tblpXSpec="center" w:tblpY="1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0"/>
        <w:gridCol w:w="4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3" w:hRule="atLeast"/>
        </w:trPr>
        <w:tc>
          <w:tcPr>
            <w:tcW w:w="3960" w:type="dxa"/>
            <w:vAlign w:val="center"/>
          </w:tcPr>
          <w:p>
            <w:pPr>
              <w:autoSpaceDE w:val="0"/>
              <w:autoSpaceDN w:val="0"/>
              <w:spacing w:line="360" w:lineRule="auto"/>
              <w:jc w:val="center"/>
              <w:rPr>
                <w:rFonts w:hint="eastAsia" w:ascii="仿宋" w:hAnsi="仿宋" w:eastAsia="仿宋" w:cs="仿宋"/>
                <w:kern w:val="0"/>
                <w:sz w:val="24"/>
                <w:highlight w:val="none"/>
              </w:rPr>
            </w:pPr>
            <w:r>
              <w:rPr>
                <w:rFonts w:hint="eastAsia" w:ascii="仿宋" w:hAnsi="仿宋" w:eastAsia="仿宋" w:cs="仿宋"/>
                <w:color w:val="auto"/>
                <w:kern w:val="0"/>
                <w:sz w:val="24"/>
                <w:highlight w:val="none"/>
              </w:rPr>
              <w:t>法定代表人居民身份证</w:t>
            </w:r>
          </w:p>
        </w:tc>
        <w:tc>
          <w:tcPr>
            <w:tcW w:w="4140" w:type="dxa"/>
            <w:vAlign w:val="center"/>
          </w:tcPr>
          <w:p>
            <w:pPr>
              <w:autoSpaceDE w:val="0"/>
              <w:autoSpaceDN w:val="0"/>
              <w:spacing w:line="360" w:lineRule="auto"/>
              <w:jc w:val="center"/>
              <w:rPr>
                <w:rFonts w:hint="eastAsia" w:ascii="仿宋" w:hAnsi="仿宋" w:eastAsia="仿宋" w:cs="仿宋"/>
                <w:kern w:val="0"/>
                <w:sz w:val="24"/>
                <w:highlight w:val="none"/>
              </w:rPr>
            </w:pPr>
            <w:r>
              <w:rPr>
                <w:rFonts w:hint="eastAsia" w:ascii="仿宋" w:hAnsi="仿宋" w:eastAsia="仿宋" w:cs="仿宋"/>
                <w:color w:val="auto"/>
                <w:kern w:val="0"/>
                <w:sz w:val="24"/>
                <w:highlight w:val="none"/>
              </w:rPr>
              <w:t>法定代表人居民身份证</w:t>
            </w:r>
          </w:p>
        </w:tc>
      </w:tr>
    </w:tbl>
    <w:p>
      <w:pPr>
        <w:autoSpaceDE w:val="0"/>
        <w:autoSpaceDN w:val="0"/>
        <w:spacing w:line="360" w:lineRule="auto"/>
        <w:ind w:firstLine="360" w:firstLineChars="150"/>
        <w:jc w:val="left"/>
        <w:rPr>
          <w:rFonts w:hint="eastAsia" w:ascii="仿宋" w:hAnsi="仿宋" w:eastAsia="仿宋" w:cs="仿宋"/>
          <w:kern w:val="0"/>
          <w:sz w:val="24"/>
          <w:highlight w:val="none"/>
        </w:rPr>
      </w:pPr>
    </w:p>
    <w:p>
      <w:pPr>
        <w:autoSpaceDE w:val="0"/>
        <w:autoSpaceDN w:val="0"/>
        <w:adjustRightInd w:val="0"/>
        <w:snapToGrid w:val="0"/>
        <w:spacing w:line="360" w:lineRule="auto"/>
        <w:ind w:firstLine="360" w:firstLineChars="150"/>
        <w:rPr>
          <w:rFonts w:hint="eastAsia" w:ascii="仿宋" w:hAnsi="仿宋" w:eastAsia="仿宋" w:cs="仿宋"/>
          <w:kern w:val="0"/>
          <w:sz w:val="24"/>
          <w:highlight w:val="none"/>
        </w:rPr>
      </w:pPr>
      <w:r>
        <w:rPr>
          <w:rFonts w:hint="eastAsia" w:ascii="仿宋" w:hAnsi="仿宋" w:eastAsia="仿宋" w:cs="仿宋"/>
          <w:kern w:val="0"/>
          <w:sz w:val="24"/>
          <w:highlight w:val="none"/>
        </w:rPr>
        <w:t>特此证明。</w:t>
      </w:r>
    </w:p>
    <w:p>
      <w:pPr>
        <w:autoSpaceDE w:val="0"/>
        <w:autoSpaceDN w:val="0"/>
        <w:adjustRightInd w:val="0"/>
        <w:snapToGrid w:val="0"/>
        <w:spacing w:line="360" w:lineRule="auto"/>
        <w:jc w:val="right"/>
        <w:rPr>
          <w:rFonts w:hint="eastAsia" w:ascii="仿宋" w:hAnsi="仿宋" w:eastAsia="仿宋" w:cs="仿宋"/>
          <w:kern w:val="0"/>
          <w:sz w:val="24"/>
          <w:highlight w:val="none"/>
        </w:rPr>
      </w:pPr>
      <w:r>
        <w:rPr>
          <w:rFonts w:hint="eastAsia" w:ascii="仿宋" w:hAnsi="仿宋" w:eastAsia="仿宋" w:cs="仿宋"/>
          <w:kern w:val="0"/>
          <w:sz w:val="24"/>
          <w:highlight w:val="none"/>
        </w:rPr>
        <w:t>法定代表人：</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签字/签章）</w:t>
      </w:r>
    </w:p>
    <w:p>
      <w:pPr>
        <w:autoSpaceDE w:val="0"/>
        <w:autoSpaceDN w:val="0"/>
        <w:adjustRightInd w:val="0"/>
        <w:snapToGrid w:val="0"/>
        <w:spacing w:line="360" w:lineRule="auto"/>
        <w:jc w:val="right"/>
        <w:rPr>
          <w:rFonts w:hint="eastAsia" w:ascii="仿宋" w:hAnsi="仿宋" w:eastAsia="仿宋" w:cs="仿宋"/>
          <w:kern w:val="0"/>
          <w:sz w:val="24"/>
          <w:highlight w:val="none"/>
        </w:rPr>
      </w:pPr>
      <w:r>
        <w:rPr>
          <w:rFonts w:hint="eastAsia" w:ascii="仿宋" w:hAnsi="仿宋" w:eastAsia="仿宋" w:cs="仿宋"/>
          <w:kern w:val="0"/>
          <w:sz w:val="24"/>
          <w:highlight w:val="none"/>
        </w:rPr>
        <w:t>供应商：</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（加盖单位公章）</w:t>
      </w:r>
    </w:p>
    <w:p>
      <w:pPr>
        <w:autoSpaceDE w:val="0"/>
        <w:autoSpaceDN w:val="0"/>
        <w:adjustRightInd w:val="0"/>
        <w:snapToGrid w:val="0"/>
        <w:spacing w:line="360" w:lineRule="auto"/>
        <w:ind w:firstLine="5160" w:firstLineChars="2150"/>
        <w:rPr>
          <w:rFonts w:hint="eastAsia" w:ascii="仿宋" w:hAnsi="仿宋" w:eastAsia="仿宋" w:cs="仿宋"/>
          <w:kern w:val="0"/>
          <w:sz w:val="24"/>
          <w:highlight w:val="none"/>
        </w:rPr>
      </w:pP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月</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日</w:t>
      </w:r>
    </w:p>
    <w:p>
      <w:pPr>
        <w:adjustRightInd w:val="0"/>
        <w:snapToGrid w:val="0"/>
        <w:spacing w:line="360" w:lineRule="auto"/>
        <w:jc w:val="center"/>
        <w:rPr>
          <w:rFonts w:hint="eastAsia" w:ascii="仿宋" w:hAnsi="仿宋" w:eastAsia="仿宋" w:cs="仿宋"/>
          <w:b/>
          <w:bCs/>
          <w:sz w:val="28"/>
          <w:szCs w:val="28"/>
          <w:highlight w:val="none"/>
        </w:rPr>
      </w:pPr>
      <w:r>
        <w:rPr>
          <w:rFonts w:hint="eastAsia" w:ascii="仿宋" w:hAnsi="仿宋" w:eastAsia="仿宋" w:cs="仿宋"/>
          <w:sz w:val="24"/>
          <w:highlight w:val="none"/>
        </w:rPr>
        <w:br w:type="page"/>
      </w:r>
      <w:r>
        <w:rPr>
          <w:rFonts w:hint="eastAsia" w:ascii="仿宋" w:hAnsi="仿宋" w:eastAsia="仿宋" w:cs="仿宋"/>
          <w:b/>
          <w:bCs/>
          <w:sz w:val="44"/>
          <w:szCs w:val="44"/>
          <w:highlight w:val="none"/>
        </w:rPr>
        <w:t>法人代表授权委托书</w:t>
      </w:r>
    </w:p>
    <w:p>
      <w:pPr>
        <w:adjustRightInd w:val="0"/>
        <w:snapToGrid w:val="0"/>
        <w:spacing w:line="360"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（适用于有委托代理人的情况）</w:t>
      </w:r>
    </w:p>
    <w:p>
      <w:pPr>
        <w:keepNext w:val="0"/>
        <w:keepLines w:val="0"/>
        <w:pageBreakBefore w:val="0"/>
        <w:kinsoku/>
        <w:wordWrap/>
        <w:overflowPunct/>
        <w:topLinePunct w:val="0"/>
        <w:bidi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本人</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（姓名）系</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（供应商名称）的法定代表人（单位负责人），现委托</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（姓名）为我方代理人。代理人根据授权，以我方名义签署、澄清、说明、补正、递交、撤回、修改</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（项目名称）</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(项目编号)</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XXX</w:t>
      </w:r>
      <w:r>
        <w:rPr>
          <w:rFonts w:hint="eastAsia" w:ascii="仿宋" w:hAnsi="仿宋" w:eastAsia="仿宋" w:cs="仿宋"/>
          <w:color w:val="auto"/>
          <w:sz w:val="24"/>
          <w:szCs w:val="24"/>
          <w:highlight w:val="none"/>
        </w:rPr>
        <w:t>标段)响应文件、签订合同和处理有关事宜，其法律后果由我方承担。</w:t>
      </w:r>
    </w:p>
    <w:p>
      <w:pPr>
        <w:keepNext w:val="0"/>
        <w:keepLines w:val="0"/>
        <w:pageBreakBefore w:val="0"/>
        <w:kinsoku/>
        <w:wordWrap/>
        <w:overflowPunct/>
        <w:topLinePunct w:val="0"/>
        <w:bidi w:val="0"/>
        <w:spacing w:before="120"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委托期限：</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。（可参考：自本委托书签署之日起至响应文件有效期满）</w:t>
      </w:r>
    </w:p>
    <w:p>
      <w:pPr>
        <w:keepNext w:val="0"/>
        <w:keepLines w:val="0"/>
        <w:pageBreakBefore w:val="0"/>
        <w:kinsoku/>
        <w:wordWrap/>
        <w:overflowPunct/>
        <w:topLinePunct w:val="0"/>
        <w:bidi w:val="0"/>
        <w:spacing w:before="240" w:after="240"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代理人无转委托权。                                                        </w:t>
      </w:r>
    </w:p>
    <w:p>
      <w:pPr>
        <w:keepNext w:val="0"/>
        <w:keepLines w:val="0"/>
        <w:pageBreakBefore w:val="0"/>
        <w:kinsoku/>
        <w:wordWrap/>
        <w:overflowPunct/>
        <w:topLinePunct w:val="0"/>
        <w:bidi w:val="0"/>
        <w:spacing w:line="360" w:lineRule="auto"/>
        <w:ind w:firstLine="440" w:firstLineChars="200"/>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附：法定代表人（单位负责人）身份证</w:t>
      </w:r>
      <w:r>
        <w:rPr>
          <w:rFonts w:hint="eastAsia" w:ascii="仿宋" w:hAnsi="仿宋" w:eastAsia="仿宋" w:cs="仿宋"/>
          <w:color w:val="auto"/>
          <w:sz w:val="22"/>
          <w:szCs w:val="22"/>
          <w:highlight w:val="none"/>
          <w:lang w:val="en-US" w:eastAsia="zh-CN"/>
        </w:rPr>
        <w:t>正反面扫描件</w:t>
      </w:r>
      <w:r>
        <w:rPr>
          <w:rFonts w:hint="eastAsia" w:ascii="仿宋" w:hAnsi="仿宋" w:eastAsia="仿宋" w:cs="仿宋"/>
          <w:color w:val="auto"/>
          <w:sz w:val="22"/>
          <w:szCs w:val="22"/>
          <w:highlight w:val="none"/>
        </w:rPr>
        <w:t>。</w:t>
      </w:r>
    </w:p>
    <w:p>
      <w:pPr>
        <w:keepNext w:val="0"/>
        <w:keepLines w:val="0"/>
        <w:pageBreakBefore w:val="0"/>
        <w:kinsoku/>
        <w:wordWrap/>
        <w:overflowPunct/>
        <w:topLinePunct w:val="0"/>
        <w:bidi w:val="0"/>
        <w:spacing w:line="360" w:lineRule="auto"/>
        <w:ind w:firstLine="440" w:firstLineChars="200"/>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mc:AlternateContent>
          <mc:Choice Requires="wps">
            <w:drawing>
              <wp:anchor distT="0" distB="0" distL="114300" distR="114300" simplePos="0" relativeHeight="251662336" behindDoc="0" locked="0" layoutInCell="1" allowOverlap="1">
                <wp:simplePos x="0" y="0"/>
                <wp:positionH relativeFrom="column">
                  <wp:posOffset>2691130</wp:posOffset>
                </wp:positionH>
                <wp:positionV relativeFrom="paragraph">
                  <wp:posOffset>108585</wp:posOffset>
                </wp:positionV>
                <wp:extent cx="2371725" cy="1135380"/>
                <wp:effectExtent l="4445" t="4445" r="16510" b="18415"/>
                <wp:wrapNone/>
                <wp:docPr id="3" name="圆角矩形 4"/>
                <wp:cNvGraphicFramePr/>
                <a:graphic xmlns:a="http://schemas.openxmlformats.org/drawingml/2006/main">
                  <a:graphicData uri="http://schemas.microsoft.com/office/word/2010/wordprocessingShape">
                    <wps:wsp>
                      <wps:cNvSpPr/>
                      <wps:spPr>
                        <a:xfrm>
                          <a:off x="0" y="0"/>
                          <a:ext cx="2371725" cy="1135380"/>
                        </a:xfrm>
                        <a:prstGeom prst="roundRect">
                          <a:avLst>
                            <a:gd name="adj" fmla="val 0"/>
                          </a:avLst>
                        </a:prstGeom>
                        <a:solidFill>
                          <a:srgbClr val="FFFFFF"/>
                        </a:solidFill>
                        <a:ln w="9525" cap="flat" cmpd="sng">
                          <a:solidFill>
                            <a:srgbClr val="000000"/>
                          </a:solidFill>
                          <a:prstDash val="dash"/>
                          <a:headEnd type="none" w="med" len="med"/>
                          <a:tailEnd type="none" w="med" len="med"/>
                        </a:ln>
                        <a:effectLst/>
                      </wps:spPr>
                      <wps:txbx>
                        <w:txbxContent>
                          <w:p/>
                          <w:p>
                            <w:pPr>
                              <w:ind w:left="0" w:leftChars="0" w:firstLine="0" w:firstLineChars="0"/>
                              <w:jc w:val="both"/>
                            </w:pPr>
                            <w:r>
                              <w:rPr>
                                <w:rFonts w:hint="eastAsia" w:ascii="宋体" w:hAnsi="宋体" w:eastAsia="宋体" w:cs="宋体"/>
                                <w:color w:val="auto"/>
                                <w:sz w:val="22"/>
                                <w:szCs w:val="22"/>
                                <w:highlight w:val="none"/>
                              </w:rPr>
                              <w:t>法定代表人（单位负责人）身份证</w:t>
                            </w:r>
                          </w:p>
                        </w:txbxContent>
                      </wps:txbx>
                      <wps:bodyPr vert="horz" anchor="t" upright="1"/>
                    </wps:wsp>
                  </a:graphicData>
                </a:graphic>
              </wp:anchor>
            </w:drawing>
          </mc:Choice>
          <mc:Fallback>
            <w:pict>
              <v:roundrect id="圆角矩形 4" o:spid="_x0000_s1026" o:spt="2" style="position:absolute;left:0pt;margin-left:211.9pt;margin-top:8.55pt;height:89.4pt;width:186.75pt;z-index:251662336;mso-width-relative:page;mso-height-relative:page;" fillcolor="#FFFFFF" filled="t" stroked="t" coordsize="21600,21600" arcsize="0" o:gfxdata="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Nk9TlnaAAAACgEAAA8AAAAAAAAAAQAgAAAAIgAAAGRycy9kb3du&#10;cmV2LnhtbFBLAQIUABQAAAAIAIdO4kBd7FHcNgIAAHcEAAAOAAAAAAAAAAEAIAAAACkBAABkcnMv&#10;ZTJvRG9jLnhtbFBLBQYAAAAABgAGAFkBAADRBQAAAAA=&#10;">
                <v:fill on="t" focussize="0,0"/>
                <v:stroke color="#000000" joinstyle="round" dashstyle="dash"/>
                <v:imagedata o:title=""/>
                <o:lock v:ext="edit" aspectratio="f"/>
                <v:textbox>
                  <w:txbxContent>
                    <w:p/>
                    <w:p>
                      <w:pPr>
                        <w:ind w:left="0" w:leftChars="0" w:firstLine="0" w:firstLineChars="0"/>
                        <w:jc w:val="both"/>
                      </w:pPr>
                      <w:r>
                        <w:rPr>
                          <w:rFonts w:hint="eastAsia" w:ascii="宋体" w:hAnsi="宋体" w:eastAsia="宋体" w:cs="宋体"/>
                          <w:color w:val="auto"/>
                          <w:sz w:val="22"/>
                          <w:szCs w:val="22"/>
                          <w:highlight w:val="none"/>
                        </w:rPr>
                        <w:t>法定代表人（单位负责人）身份证</w:t>
                      </w:r>
                    </w:p>
                  </w:txbxContent>
                </v:textbox>
              </v:roundrect>
            </w:pict>
          </mc:Fallback>
        </mc:AlternateContent>
      </w:r>
      <w:r>
        <w:rPr>
          <w:rFonts w:hint="eastAsia" w:ascii="仿宋" w:hAnsi="仿宋" w:eastAsia="仿宋" w:cs="仿宋"/>
          <w:color w:val="auto"/>
          <w:sz w:val="22"/>
          <w:szCs w:val="22"/>
          <w:highlight w:val="none"/>
        </w:rPr>
        <mc:AlternateContent>
          <mc:Choice Requires="wps">
            <w:drawing>
              <wp:anchor distT="0" distB="0" distL="114300" distR="114300" simplePos="0" relativeHeight="251663360" behindDoc="0" locked="0" layoutInCell="1" allowOverlap="1">
                <wp:simplePos x="0" y="0"/>
                <wp:positionH relativeFrom="column">
                  <wp:posOffset>208280</wp:posOffset>
                </wp:positionH>
                <wp:positionV relativeFrom="paragraph">
                  <wp:posOffset>100965</wp:posOffset>
                </wp:positionV>
                <wp:extent cx="2371725" cy="1144905"/>
                <wp:effectExtent l="4445" t="4445" r="16510" b="8890"/>
                <wp:wrapNone/>
                <wp:docPr id="5" name="圆角矩形 5"/>
                <wp:cNvGraphicFramePr/>
                <a:graphic xmlns:a="http://schemas.openxmlformats.org/drawingml/2006/main">
                  <a:graphicData uri="http://schemas.microsoft.com/office/word/2010/wordprocessingShape">
                    <wps:wsp>
                      <wps:cNvSpPr/>
                      <wps:spPr>
                        <a:xfrm>
                          <a:off x="0" y="0"/>
                          <a:ext cx="2371725" cy="1144905"/>
                        </a:xfrm>
                        <a:prstGeom prst="roundRect">
                          <a:avLst>
                            <a:gd name="adj" fmla="val 0"/>
                          </a:avLst>
                        </a:prstGeom>
                        <a:solidFill>
                          <a:srgbClr val="FFFFFF"/>
                        </a:solidFill>
                        <a:ln w="9525" cap="flat" cmpd="sng">
                          <a:solidFill>
                            <a:srgbClr val="0D0D0D"/>
                          </a:solidFill>
                          <a:prstDash val="dash"/>
                          <a:headEnd type="none" w="med" len="med"/>
                          <a:tailEnd type="none" w="med" len="med"/>
                        </a:ln>
                        <a:effectLst/>
                      </wps:spPr>
                      <wps:txbx>
                        <w:txbxContent>
                          <w:p>
                            <w:pPr>
                              <w:jc w:val="center"/>
                            </w:pPr>
                          </w:p>
                          <w:p>
                            <w:pPr>
                              <w:ind w:left="0" w:leftChars="0" w:firstLine="0" w:firstLineChars="0"/>
                              <w:jc w:val="both"/>
                            </w:pPr>
                            <w:r>
                              <w:rPr>
                                <w:rFonts w:hint="eastAsia" w:ascii="宋体" w:hAnsi="宋体" w:eastAsia="宋体" w:cs="宋体"/>
                                <w:color w:val="auto"/>
                                <w:sz w:val="22"/>
                                <w:szCs w:val="22"/>
                                <w:highlight w:val="none"/>
                              </w:rPr>
                              <w:t>法定代表人（单位负责人）身份证</w:t>
                            </w:r>
                          </w:p>
                          <w:p>
                            <w:pPr>
                              <w:jc w:val="center"/>
                            </w:pPr>
                          </w:p>
                        </w:txbxContent>
                      </wps:txbx>
                      <wps:bodyPr vert="horz" anchor="t" upright="1"/>
                    </wps:wsp>
                  </a:graphicData>
                </a:graphic>
              </wp:anchor>
            </w:drawing>
          </mc:Choice>
          <mc:Fallback>
            <w:pict>
              <v:roundrect id="_x0000_s1026" o:spid="_x0000_s1026" o:spt="2" style="position:absolute;left:0pt;margin-left:16.4pt;margin-top:7.95pt;height:90.15pt;width:186.75pt;z-index:251663360;mso-width-relative:page;mso-height-relative:page;" fillcolor="#FFFFFF" filled="t" stroked="t" coordsize="21600,21600" arcsize="0" o:gfxdata="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bMzMdgAAAAJAQAADwAAAAAAAAABACAAAAAiAAAAZHJzL2Rvd25y&#10;ZXYueG1sUEsBAhQAFAAAAAgAh07iQOG39bs3AgAAdwQAAA4AAAAAAAAAAQAgAAAAJwEAAGRycy9l&#10;Mm9Eb2MueG1sUEsFBgAAAAAGAAYAWQEAANAFAAAAAA==&#10;">
                <v:fill on="t" focussize="0,0"/>
                <v:stroke color="#0D0D0D" joinstyle="round" dashstyle="dash"/>
                <v:imagedata o:title=""/>
                <o:lock v:ext="edit" aspectratio="f"/>
                <v:textbox>
                  <w:txbxContent>
                    <w:p>
                      <w:pPr>
                        <w:jc w:val="center"/>
                      </w:pPr>
                    </w:p>
                    <w:p>
                      <w:pPr>
                        <w:ind w:left="0" w:leftChars="0" w:firstLine="0" w:firstLineChars="0"/>
                        <w:jc w:val="both"/>
                      </w:pPr>
                      <w:r>
                        <w:rPr>
                          <w:rFonts w:hint="eastAsia" w:ascii="宋体" w:hAnsi="宋体" w:eastAsia="宋体" w:cs="宋体"/>
                          <w:color w:val="auto"/>
                          <w:sz w:val="22"/>
                          <w:szCs w:val="22"/>
                          <w:highlight w:val="none"/>
                        </w:rPr>
                        <w:t>法定代表人（单位负责人）身份证</w:t>
                      </w:r>
                    </w:p>
                    <w:p>
                      <w:pPr>
                        <w:jc w:val="center"/>
                      </w:pPr>
                    </w:p>
                  </w:txbxContent>
                </v:textbox>
              </v:roundrect>
            </w:pict>
          </mc:Fallback>
        </mc:AlternateContent>
      </w:r>
    </w:p>
    <w:p>
      <w:pPr>
        <w:keepNext w:val="0"/>
        <w:keepLines w:val="0"/>
        <w:pageBreakBefore w:val="0"/>
        <w:kinsoku/>
        <w:wordWrap/>
        <w:overflowPunct/>
        <w:topLinePunct w:val="0"/>
        <w:bidi w:val="0"/>
        <w:spacing w:line="360" w:lineRule="auto"/>
        <w:ind w:firstLine="440" w:firstLineChars="200"/>
        <w:textAlignment w:val="auto"/>
        <w:rPr>
          <w:rFonts w:hint="eastAsia" w:ascii="仿宋" w:hAnsi="仿宋" w:eastAsia="仿宋" w:cs="仿宋"/>
          <w:color w:val="auto"/>
          <w:sz w:val="22"/>
          <w:szCs w:val="22"/>
          <w:highlight w:val="none"/>
        </w:rPr>
      </w:pPr>
    </w:p>
    <w:p>
      <w:pPr>
        <w:keepNext w:val="0"/>
        <w:keepLines w:val="0"/>
        <w:pageBreakBefore w:val="0"/>
        <w:kinsoku/>
        <w:wordWrap/>
        <w:overflowPunct/>
        <w:topLinePunct w:val="0"/>
        <w:bidi w:val="0"/>
        <w:spacing w:line="360" w:lineRule="auto"/>
        <w:ind w:firstLine="440" w:firstLineChars="200"/>
        <w:textAlignment w:val="auto"/>
        <w:rPr>
          <w:rFonts w:hint="eastAsia" w:ascii="仿宋" w:hAnsi="仿宋" w:eastAsia="仿宋" w:cs="仿宋"/>
          <w:color w:val="auto"/>
          <w:sz w:val="22"/>
          <w:szCs w:val="22"/>
          <w:highlight w:val="none"/>
        </w:rPr>
      </w:pPr>
    </w:p>
    <w:p>
      <w:pPr>
        <w:keepNext w:val="0"/>
        <w:keepLines w:val="0"/>
        <w:pageBreakBefore w:val="0"/>
        <w:kinsoku/>
        <w:wordWrap/>
        <w:overflowPunct/>
        <w:topLinePunct w:val="0"/>
        <w:bidi w:val="0"/>
        <w:spacing w:line="360" w:lineRule="auto"/>
        <w:ind w:firstLine="440" w:firstLineChars="200"/>
        <w:textAlignment w:val="auto"/>
        <w:rPr>
          <w:rFonts w:hint="eastAsia" w:ascii="仿宋" w:hAnsi="仿宋" w:eastAsia="仿宋" w:cs="仿宋"/>
          <w:color w:val="auto"/>
          <w:sz w:val="22"/>
          <w:szCs w:val="22"/>
          <w:highlight w:val="none"/>
        </w:rPr>
      </w:pPr>
    </w:p>
    <w:p>
      <w:pPr>
        <w:keepNext w:val="0"/>
        <w:keepLines w:val="0"/>
        <w:pageBreakBefore w:val="0"/>
        <w:kinsoku/>
        <w:wordWrap/>
        <w:overflowPunct/>
        <w:topLinePunct w:val="0"/>
        <w:bidi w:val="0"/>
        <w:spacing w:line="360" w:lineRule="auto"/>
        <w:ind w:firstLine="440" w:firstLineChars="200"/>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附：委托代理人身份证</w:t>
      </w:r>
      <w:r>
        <w:rPr>
          <w:rFonts w:hint="eastAsia" w:ascii="仿宋" w:hAnsi="仿宋" w:eastAsia="仿宋" w:cs="仿宋"/>
          <w:color w:val="auto"/>
          <w:sz w:val="22"/>
          <w:szCs w:val="22"/>
          <w:highlight w:val="none"/>
          <w:lang w:val="en-US" w:eastAsia="zh-CN"/>
        </w:rPr>
        <w:t>正反面扫描件</w:t>
      </w:r>
      <w:r>
        <w:rPr>
          <w:rFonts w:hint="eastAsia" w:ascii="仿宋" w:hAnsi="仿宋" w:eastAsia="仿宋" w:cs="仿宋"/>
          <w:color w:val="auto"/>
          <w:sz w:val="22"/>
          <w:szCs w:val="22"/>
          <w:highlight w:val="none"/>
        </w:rPr>
        <w:t>。</w:t>
      </w:r>
      <w:r>
        <w:rPr>
          <w:rFonts w:hint="eastAsia" w:ascii="仿宋" w:hAnsi="仿宋" w:eastAsia="仿宋" w:cs="仿宋"/>
          <w:color w:val="auto"/>
          <w:sz w:val="22"/>
          <w:szCs w:val="22"/>
          <w:highlight w:val="none"/>
        </w:rPr>
        <mc:AlternateContent>
          <mc:Choice Requires="wps">
            <w:drawing>
              <wp:anchor distT="0" distB="0" distL="114300" distR="114300" simplePos="0" relativeHeight="251664384" behindDoc="0" locked="0" layoutInCell="1" allowOverlap="1">
                <wp:simplePos x="0" y="0"/>
                <wp:positionH relativeFrom="column">
                  <wp:posOffset>2720340</wp:posOffset>
                </wp:positionH>
                <wp:positionV relativeFrom="paragraph">
                  <wp:posOffset>236855</wp:posOffset>
                </wp:positionV>
                <wp:extent cx="2371725" cy="982980"/>
                <wp:effectExtent l="4445" t="4445" r="16510" b="18415"/>
                <wp:wrapNone/>
                <wp:docPr id="8" name="圆角矩形 6"/>
                <wp:cNvGraphicFramePr/>
                <a:graphic xmlns:a="http://schemas.openxmlformats.org/drawingml/2006/main">
                  <a:graphicData uri="http://schemas.microsoft.com/office/word/2010/wordprocessingShape">
                    <wps:wsp>
                      <wps:cNvSpPr/>
                      <wps:spPr>
                        <a:xfrm>
                          <a:off x="0" y="0"/>
                          <a:ext cx="2371725" cy="982980"/>
                        </a:xfrm>
                        <a:prstGeom prst="roundRect">
                          <a:avLst>
                            <a:gd name="adj" fmla="val 0"/>
                          </a:avLst>
                        </a:prstGeom>
                        <a:solidFill>
                          <a:srgbClr val="FFFFFF"/>
                        </a:solidFill>
                        <a:ln w="9525" cap="flat" cmpd="sng">
                          <a:solidFill>
                            <a:srgbClr val="000000"/>
                          </a:solidFill>
                          <a:prstDash val="dash"/>
                          <a:headEnd type="none" w="med" len="med"/>
                          <a:tailEnd type="none" w="med" len="med"/>
                        </a:ln>
                        <a:effectLst/>
                      </wps:spPr>
                      <wps:txbx>
                        <w:txbxContent>
                          <w:p/>
                          <w:p>
                            <w:pPr>
                              <w:jc w:val="center"/>
                            </w:pPr>
                            <w:r>
                              <w:rPr>
                                <w:rFonts w:hint="eastAsia" w:ascii="宋体" w:hAnsi="宋体" w:eastAsia="宋体" w:cs="宋体"/>
                                <w:color w:val="auto"/>
                                <w:sz w:val="22"/>
                                <w:szCs w:val="22"/>
                                <w:highlight w:val="none"/>
                              </w:rPr>
                              <w:t>委托代理人身份证</w:t>
                            </w:r>
                          </w:p>
                        </w:txbxContent>
                      </wps:txbx>
                      <wps:bodyPr vert="horz" anchor="t" upright="1"/>
                    </wps:wsp>
                  </a:graphicData>
                </a:graphic>
              </wp:anchor>
            </w:drawing>
          </mc:Choice>
          <mc:Fallback>
            <w:pict>
              <v:roundrect id="圆角矩形 6" o:spid="_x0000_s1026" o:spt="2" style="position:absolute;left:0pt;margin-left:214.2pt;margin-top:18.65pt;height:77.4pt;width:186.75pt;z-index:251664384;mso-width-relative:page;mso-height-relative:page;" fillcolor="#FFFFFF" filled="t" stroked="t" coordsize="21600,21600" arcsize="0" o:gfxdata="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k3MoF2gAAAAoBAAAPAAAAAAAAAAEAIAAAACIAAABkcnMvZG93bnJl&#10;di54bWxQSwECFAAUAAAACACHTuJACn5RdDQCAAB2BAAADgAAAAAAAAABACAAAAApAQAAZHJzL2Uy&#10;b0RvYy54bWxQSwUGAAAAAAYABgBZAQAAzwUAAAAA&#10;">
                <v:fill on="t" focussize="0,0"/>
                <v:stroke color="#000000" joinstyle="round" dashstyle="dash"/>
                <v:imagedata o:title=""/>
                <o:lock v:ext="edit" aspectratio="f"/>
                <v:textbox>
                  <w:txbxContent>
                    <w:p/>
                    <w:p>
                      <w:pPr>
                        <w:jc w:val="center"/>
                      </w:pPr>
                      <w:r>
                        <w:rPr>
                          <w:rFonts w:hint="eastAsia" w:ascii="宋体" w:hAnsi="宋体" w:eastAsia="宋体" w:cs="宋体"/>
                          <w:color w:val="auto"/>
                          <w:sz w:val="22"/>
                          <w:szCs w:val="22"/>
                          <w:highlight w:val="none"/>
                        </w:rPr>
                        <w:t>委托代理人身份证</w:t>
                      </w:r>
                    </w:p>
                  </w:txbxContent>
                </v:textbox>
              </v:roundrect>
            </w:pict>
          </mc:Fallback>
        </mc:AlternateContent>
      </w:r>
      <w:r>
        <w:rPr>
          <w:rFonts w:hint="eastAsia" w:ascii="仿宋" w:hAnsi="仿宋" w:eastAsia="仿宋" w:cs="仿宋"/>
          <w:color w:val="auto"/>
          <w:sz w:val="22"/>
          <w:szCs w:val="22"/>
          <w:highlight w:val="none"/>
        </w:rPr>
        <mc:AlternateContent>
          <mc:Choice Requires="wps">
            <w:drawing>
              <wp:anchor distT="0" distB="0" distL="114300" distR="114300" simplePos="0" relativeHeight="251665408" behindDoc="0" locked="0" layoutInCell="1" allowOverlap="1">
                <wp:simplePos x="0" y="0"/>
                <wp:positionH relativeFrom="column">
                  <wp:posOffset>234315</wp:posOffset>
                </wp:positionH>
                <wp:positionV relativeFrom="paragraph">
                  <wp:posOffset>236855</wp:posOffset>
                </wp:positionV>
                <wp:extent cx="2371725" cy="1016635"/>
                <wp:effectExtent l="4445" t="4445" r="16510" b="15240"/>
                <wp:wrapNone/>
                <wp:docPr id="9" name="圆角矩形 7"/>
                <wp:cNvGraphicFramePr/>
                <a:graphic xmlns:a="http://schemas.openxmlformats.org/drawingml/2006/main">
                  <a:graphicData uri="http://schemas.microsoft.com/office/word/2010/wordprocessingShape">
                    <wps:wsp>
                      <wps:cNvSpPr/>
                      <wps:spPr>
                        <a:xfrm>
                          <a:off x="0" y="0"/>
                          <a:ext cx="2371725" cy="1016635"/>
                        </a:xfrm>
                        <a:prstGeom prst="roundRect">
                          <a:avLst>
                            <a:gd name="adj" fmla="val 0"/>
                          </a:avLst>
                        </a:prstGeom>
                        <a:solidFill>
                          <a:srgbClr val="FFFFFF"/>
                        </a:solidFill>
                        <a:ln w="9525" cap="flat" cmpd="sng">
                          <a:solidFill>
                            <a:srgbClr val="0D0D0D"/>
                          </a:solidFill>
                          <a:prstDash val="dash"/>
                          <a:headEnd type="none" w="med" len="med"/>
                          <a:tailEnd type="none" w="med" len="med"/>
                        </a:ln>
                        <a:effectLst/>
                      </wps:spPr>
                      <wps:txbx>
                        <w:txbxContent>
                          <w:p>
                            <w:pPr>
                              <w:jc w:val="center"/>
                            </w:pPr>
                          </w:p>
                          <w:p>
                            <w:pPr>
                              <w:jc w:val="center"/>
                            </w:pPr>
                            <w:r>
                              <w:rPr>
                                <w:rFonts w:hint="eastAsia" w:ascii="宋体" w:hAnsi="宋体" w:eastAsia="宋体" w:cs="宋体"/>
                                <w:color w:val="auto"/>
                                <w:sz w:val="22"/>
                                <w:szCs w:val="22"/>
                                <w:highlight w:val="none"/>
                              </w:rPr>
                              <w:t>委托代理人身份证</w:t>
                            </w:r>
                          </w:p>
                          <w:p>
                            <w:pPr>
                              <w:jc w:val="center"/>
                            </w:pPr>
                          </w:p>
                        </w:txbxContent>
                      </wps:txbx>
                      <wps:bodyPr vert="horz" anchor="t" upright="1"/>
                    </wps:wsp>
                  </a:graphicData>
                </a:graphic>
              </wp:anchor>
            </w:drawing>
          </mc:Choice>
          <mc:Fallback>
            <w:pict>
              <v:roundrect id="圆角矩形 7" o:spid="_x0000_s1026" o:spt="2" style="position:absolute;left:0pt;margin-left:18.45pt;margin-top:18.65pt;height:80.05pt;width:186.75pt;z-index:251665408;mso-width-relative:page;mso-height-relative:page;" fillcolor="#FFFFFF" filled="t" stroked="t" coordsize="21600,21600" arcsize="0" o:gfxdata="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WwEvNgAAAAJAQAADwAAAAAAAAABACAAAAAiAAAAZHJzL2Rvd25y&#10;ZXYueG1sUEsBAhQAFAAAAAgAh07iQEeuSCM3AgAAdwQAAA4AAAAAAAAAAQAgAAAAJwEAAGRycy9l&#10;Mm9Eb2MueG1sUEsFBgAAAAAGAAYAWQEAANAFAAAAAA==&#10;">
                <v:fill on="t" focussize="0,0"/>
                <v:stroke color="#0D0D0D" joinstyle="round" dashstyle="dash"/>
                <v:imagedata o:title=""/>
                <o:lock v:ext="edit" aspectratio="f"/>
                <v:textbox>
                  <w:txbxContent>
                    <w:p>
                      <w:pPr>
                        <w:jc w:val="center"/>
                      </w:pPr>
                    </w:p>
                    <w:p>
                      <w:pPr>
                        <w:jc w:val="center"/>
                      </w:pPr>
                      <w:r>
                        <w:rPr>
                          <w:rFonts w:hint="eastAsia" w:ascii="宋体" w:hAnsi="宋体" w:eastAsia="宋体" w:cs="宋体"/>
                          <w:color w:val="auto"/>
                          <w:sz w:val="22"/>
                          <w:szCs w:val="22"/>
                          <w:highlight w:val="none"/>
                        </w:rPr>
                        <w:t>委托代理人身份证</w:t>
                      </w:r>
                    </w:p>
                    <w:p>
                      <w:pPr>
                        <w:jc w:val="center"/>
                      </w:pPr>
                    </w:p>
                  </w:txbxContent>
                </v:textbox>
              </v:roundrect>
            </w:pict>
          </mc:Fallback>
        </mc:AlternateContent>
      </w:r>
    </w:p>
    <w:p>
      <w:pPr>
        <w:keepNext w:val="0"/>
        <w:keepLines w:val="0"/>
        <w:pageBreakBefore w:val="0"/>
        <w:kinsoku/>
        <w:wordWrap/>
        <w:overflowPunct/>
        <w:topLinePunct w:val="0"/>
        <w:bidi w:val="0"/>
        <w:spacing w:line="360" w:lineRule="auto"/>
        <w:ind w:firstLine="440" w:firstLineChars="200"/>
        <w:textAlignment w:val="auto"/>
        <w:rPr>
          <w:rFonts w:hint="eastAsia" w:ascii="仿宋" w:hAnsi="仿宋" w:eastAsia="仿宋" w:cs="仿宋"/>
          <w:color w:val="auto"/>
          <w:sz w:val="22"/>
          <w:szCs w:val="22"/>
          <w:highlight w:val="none"/>
        </w:rPr>
      </w:pPr>
    </w:p>
    <w:p>
      <w:pPr>
        <w:keepNext w:val="0"/>
        <w:keepLines w:val="0"/>
        <w:pageBreakBefore w:val="0"/>
        <w:kinsoku/>
        <w:wordWrap/>
        <w:overflowPunct/>
        <w:topLinePunct w:val="0"/>
        <w:bidi w:val="0"/>
        <w:spacing w:line="360" w:lineRule="auto"/>
        <w:ind w:firstLine="440" w:firstLineChars="200"/>
        <w:textAlignment w:val="auto"/>
        <w:rPr>
          <w:rFonts w:hint="eastAsia" w:ascii="仿宋" w:hAnsi="仿宋" w:eastAsia="仿宋" w:cs="仿宋"/>
          <w:color w:val="auto"/>
          <w:sz w:val="22"/>
          <w:szCs w:val="22"/>
          <w:highlight w:val="none"/>
        </w:rPr>
      </w:pPr>
    </w:p>
    <w:p>
      <w:pPr>
        <w:keepNext w:val="0"/>
        <w:keepLines w:val="0"/>
        <w:pageBreakBefore w:val="0"/>
        <w:kinsoku/>
        <w:wordWrap/>
        <w:overflowPunct/>
        <w:topLinePunct w:val="0"/>
        <w:bidi w:val="0"/>
        <w:spacing w:line="360" w:lineRule="auto"/>
        <w:textAlignment w:val="auto"/>
        <w:rPr>
          <w:rFonts w:hint="eastAsia" w:ascii="仿宋" w:hAnsi="仿宋" w:eastAsia="仿宋" w:cs="仿宋"/>
          <w:color w:val="auto"/>
          <w:sz w:val="22"/>
          <w:szCs w:val="22"/>
          <w:highlight w:val="none"/>
        </w:rPr>
      </w:pPr>
    </w:p>
    <w:p>
      <w:pPr>
        <w:keepNext w:val="0"/>
        <w:keepLines w:val="0"/>
        <w:pageBreakBefore w:val="0"/>
        <w:kinsoku/>
        <w:wordWrap/>
        <w:overflowPunct/>
        <w:topLinePunct w:val="0"/>
        <w:bidi w:val="0"/>
        <w:spacing w:line="360" w:lineRule="auto"/>
        <w:ind w:firstLine="480" w:firstLineChars="200"/>
        <w:textAlignment w:val="auto"/>
        <w:rPr>
          <w:rFonts w:hint="eastAsia" w:ascii="仿宋" w:hAnsi="仿宋" w:eastAsia="仿宋" w:cs="仿宋"/>
          <w:b w:val="0"/>
          <w:bCs w:val="0"/>
          <w:sz w:val="24"/>
          <w:szCs w:val="24"/>
          <w:highlight w:val="none"/>
        </w:rPr>
      </w:pPr>
      <w:r>
        <w:rPr>
          <w:rFonts w:hint="eastAsia" w:ascii="仿宋" w:hAnsi="仿宋" w:eastAsia="仿宋" w:cs="仿宋"/>
          <w:sz w:val="24"/>
          <w:szCs w:val="24"/>
          <w:highlight w:val="none"/>
        </w:rPr>
        <w:t>供应商：</w:t>
      </w:r>
      <w:r>
        <w:rPr>
          <w:rFonts w:hint="eastAsia" w:ascii="仿宋" w:hAnsi="仿宋" w:eastAsia="仿宋" w:cs="仿宋"/>
          <w:sz w:val="24"/>
          <w:szCs w:val="24"/>
          <w:highlight w:val="none"/>
          <w:u w:val="single"/>
        </w:rPr>
        <w:t xml:space="preserve">                          </w:t>
      </w:r>
      <w:r>
        <w:rPr>
          <w:rFonts w:hint="eastAsia" w:ascii="仿宋" w:hAnsi="仿宋" w:eastAsia="仿宋" w:cs="仿宋"/>
          <w:b w:val="0"/>
          <w:bCs w:val="0"/>
          <w:sz w:val="24"/>
          <w:szCs w:val="24"/>
          <w:highlight w:val="none"/>
          <w:u w:val="single"/>
        </w:rPr>
        <w:t xml:space="preserve">    </w:t>
      </w:r>
      <w:r>
        <w:rPr>
          <w:rFonts w:hint="eastAsia" w:ascii="仿宋" w:hAnsi="仿宋" w:eastAsia="仿宋" w:cs="仿宋"/>
          <w:b/>
          <w:bCs/>
          <w:sz w:val="24"/>
          <w:szCs w:val="24"/>
          <w:highlight w:val="none"/>
        </w:rPr>
        <w:t>（盖章）</w:t>
      </w:r>
    </w:p>
    <w:p>
      <w:pPr>
        <w:keepNext w:val="0"/>
        <w:keepLines w:val="0"/>
        <w:pageBreakBefore w:val="0"/>
        <w:kinsoku/>
        <w:wordWrap/>
        <w:overflowPunct/>
        <w:topLinePunct w:val="0"/>
        <w:bidi w:val="0"/>
        <w:spacing w:line="360" w:lineRule="auto"/>
        <w:ind w:firstLine="480" w:firstLineChars="200"/>
        <w:textAlignment w:val="auto"/>
        <w:rPr>
          <w:rFonts w:hint="eastAsia" w:ascii="仿宋" w:hAnsi="仿宋" w:eastAsia="仿宋" w:cs="仿宋"/>
          <w:b/>
          <w:bCs/>
          <w:sz w:val="24"/>
          <w:szCs w:val="24"/>
          <w:highlight w:val="none"/>
        </w:rPr>
      </w:pPr>
      <w:r>
        <w:rPr>
          <w:rFonts w:hint="eastAsia" w:ascii="仿宋" w:hAnsi="仿宋" w:eastAsia="仿宋" w:cs="仿宋"/>
          <w:b w:val="0"/>
          <w:bCs w:val="0"/>
          <w:sz w:val="24"/>
          <w:szCs w:val="24"/>
          <w:highlight w:val="none"/>
        </w:rPr>
        <w:t>法定代表人（单位负责人）：</w:t>
      </w:r>
      <w:r>
        <w:rPr>
          <w:rFonts w:hint="eastAsia" w:ascii="仿宋" w:hAnsi="仿宋" w:eastAsia="仿宋" w:cs="仿宋"/>
          <w:b w:val="0"/>
          <w:bCs w:val="0"/>
          <w:sz w:val="24"/>
          <w:szCs w:val="24"/>
          <w:highlight w:val="none"/>
          <w:u w:val="single"/>
        </w:rPr>
        <w:t xml:space="preserve">       </w:t>
      </w:r>
      <w:r>
        <w:rPr>
          <w:rFonts w:hint="eastAsia" w:ascii="仿宋" w:hAnsi="仿宋" w:eastAsia="仿宋" w:cs="仿宋"/>
          <w:b w:val="0"/>
          <w:bCs w:val="0"/>
          <w:sz w:val="24"/>
          <w:szCs w:val="24"/>
          <w:highlight w:val="none"/>
          <w:u w:val="single"/>
          <w:lang w:val="en-US" w:eastAsia="zh-CN"/>
        </w:rPr>
        <w:t xml:space="preserve">  </w:t>
      </w:r>
      <w:r>
        <w:rPr>
          <w:rFonts w:hint="eastAsia" w:ascii="仿宋" w:hAnsi="仿宋" w:eastAsia="仿宋" w:cs="仿宋"/>
          <w:b w:val="0"/>
          <w:bCs w:val="0"/>
          <w:sz w:val="24"/>
          <w:szCs w:val="24"/>
          <w:highlight w:val="none"/>
          <w:u w:val="single"/>
        </w:rPr>
        <w:t xml:space="preserve">      </w:t>
      </w:r>
      <w:r>
        <w:rPr>
          <w:rFonts w:hint="eastAsia" w:ascii="仿宋" w:hAnsi="仿宋" w:eastAsia="仿宋" w:cs="仿宋"/>
          <w:b/>
          <w:bCs/>
          <w:sz w:val="24"/>
          <w:szCs w:val="24"/>
          <w:highlight w:val="none"/>
        </w:rPr>
        <w:t>（签字或</w:t>
      </w:r>
      <w:r>
        <w:rPr>
          <w:rFonts w:hint="eastAsia" w:ascii="仿宋" w:hAnsi="仿宋" w:eastAsia="仿宋" w:cs="仿宋"/>
          <w:b/>
          <w:bCs/>
          <w:sz w:val="24"/>
          <w:szCs w:val="24"/>
          <w:highlight w:val="none"/>
          <w:lang w:val="en-US" w:eastAsia="zh-CN"/>
        </w:rPr>
        <w:t>签章</w:t>
      </w:r>
      <w:r>
        <w:rPr>
          <w:rFonts w:hint="eastAsia" w:ascii="仿宋" w:hAnsi="仿宋" w:eastAsia="仿宋" w:cs="仿宋"/>
          <w:b/>
          <w:bCs/>
          <w:sz w:val="24"/>
          <w:szCs w:val="24"/>
          <w:highlight w:val="none"/>
        </w:rPr>
        <w:t>）</w:t>
      </w:r>
    </w:p>
    <w:p>
      <w:pPr>
        <w:keepNext w:val="0"/>
        <w:keepLines w:val="0"/>
        <w:pageBreakBefore w:val="0"/>
        <w:kinsoku/>
        <w:wordWrap/>
        <w:overflowPunct/>
        <w:topLinePunct w:val="0"/>
        <w:bidi w:val="0"/>
        <w:spacing w:line="360" w:lineRule="auto"/>
        <w:ind w:firstLine="480" w:firstLineChars="200"/>
        <w:textAlignment w:val="auto"/>
        <w:rPr>
          <w:rFonts w:hint="eastAsia" w:ascii="仿宋" w:hAnsi="仿宋" w:eastAsia="仿宋" w:cs="仿宋"/>
          <w:b w:val="0"/>
          <w:bCs w:val="0"/>
          <w:sz w:val="24"/>
          <w:szCs w:val="24"/>
          <w:highlight w:val="none"/>
          <w:u w:val="single"/>
        </w:rPr>
      </w:pPr>
      <w:r>
        <w:rPr>
          <w:rFonts w:hint="eastAsia" w:ascii="仿宋" w:hAnsi="仿宋" w:eastAsia="仿宋" w:cs="仿宋"/>
          <w:b w:val="0"/>
          <w:bCs w:val="0"/>
          <w:sz w:val="24"/>
          <w:szCs w:val="24"/>
          <w:highlight w:val="none"/>
        </w:rPr>
        <w:t>身份证号码：</w:t>
      </w:r>
      <w:r>
        <w:rPr>
          <w:rFonts w:hint="eastAsia" w:ascii="仿宋" w:hAnsi="仿宋" w:eastAsia="仿宋" w:cs="仿宋"/>
          <w:b w:val="0"/>
          <w:bCs w:val="0"/>
          <w:sz w:val="24"/>
          <w:szCs w:val="24"/>
          <w:highlight w:val="none"/>
          <w:u w:val="single"/>
        </w:rPr>
        <w:t xml:space="preserve">                              </w:t>
      </w:r>
    </w:p>
    <w:p>
      <w:pPr>
        <w:keepNext w:val="0"/>
        <w:keepLines w:val="0"/>
        <w:pageBreakBefore w:val="0"/>
        <w:kinsoku/>
        <w:wordWrap/>
        <w:overflowPunct/>
        <w:topLinePunct w:val="0"/>
        <w:bidi w:val="0"/>
        <w:spacing w:line="360" w:lineRule="auto"/>
        <w:ind w:firstLine="480" w:firstLineChars="200"/>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委托代理人：</w:t>
      </w:r>
      <w:r>
        <w:rPr>
          <w:rFonts w:hint="eastAsia" w:ascii="仿宋" w:hAnsi="仿宋" w:eastAsia="仿宋" w:cs="仿宋"/>
          <w:b w:val="0"/>
          <w:bCs w:val="0"/>
          <w:sz w:val="24"/>
          <w:szCs w:val="24"/>
          <w:highlight w:val="none"/>
          <w:u w:val="single"/>
        </w:rPr>
        <w:t xml:space="preserve">                              </w:t>
      </w:r>
      <w:r>
        <w:rPr>
          <w:rFonts w:hint="eastAsia" w:ascii="仿宋" w:hAnsi="仿宋" w:eastAsia="仿宋" w:cs="仿宋"/>
          <w:b/>
          <w:bCs/>
          <w:sz w:val="24"/>
          <w:szCs w:val="24"/>
          <w:highlight w:val="none"/>
        </w:rPr>
        <w:t>（</w:t>
      </w:r>
      <w:r>
        <w:rPr>
          <w:rFonts w:hint="eastAsia" w:ascii="仿宋" w:hAnsi="仿宋" w:eastAsia="仿宋" w:cs="仿宋"/>
          <w:b/>
          <w:bCs/>
          <w:sz w:val="24"/>
          <w:szCs w:val="24"/>
          <w:highlight w:val="none"/>
          <w:lang w:val="en-US" w:eastAsia="zh-CN"/>
        </w:rPr>
        <w:t>签字</w:t>
      </w:r>
      <w:r>
        <w:rPr>
          <w:rFonts w:hint="eastAsia" w:ascii="仿宋" w:hAnsi="仿宋" w:eastAsia="仿宋" w:cs="仿宋"/>
          <w:b/>
          <w:bCs/>
          <w:sz w:val="24"/>
          <w:szCs w:val="24"/>
          <w:highlight w:val="none"/>
        </w:rPr>
        <w:t>）</w:t>
      </w:r>
    </w:p>
    <w:p>
      <w:pPr>
        <w:keepNext w:val="0"/>
        <w:keepLines w:val="0"/>
        <w:pageBreakBefore w:val="0"/>
        <w:kinsoku/>
        <w:wordWrap/>
        <w:overflowPunct/>
        <w:topLinePunct w:val="0"/>
        <w:bidi w:val="0"/>
        <w:spacing w:line="360" w:lineRule="auto"/>
        <w:ind w:firstLine="480" w:firstLineChars="200"/>
        <w:textAlignment w:val="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身份证号码：</w:t>
      </w:r>
      <w:r>
        <w:rPr>
          <w:rFonts w:hint="eastAsia" w:ascii="仿宋" w:hAnsi="仿宋" w:eastAsia="仿宋" w:cs="仿宋"/>
          <w:sz w:val="24"/>
          <w:szCs w:val="24"/>
          <w:highlight w:val="none"/>
          <w:u w:val="single"/>
        </w:rPr>
        <w:t xml:space="preserve">                              </w:t>
      </w:r>
    </w:p>
    <w:p>
      <w:pPr>
        <w:keepNext w:val="0"/>
        <w:keepLines w:val="0"/>
        <w:pageBreakBefore w:val="0"/>
        <w:kinsoku/>
        <w:wordWrap/>
        <w:overflowPunct/>
        <w:topLinePunct w:val="0"/>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联 系 方式：</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 xml:space="preserve"> </w:t>
      </w:r>
    </w:p>
    <w:p>
      <w:pPr>
        <w:autoSpaceDE w:val="0"/>
        <w:autoSpaceDN w:val="0"/>
        <w:adjustRightInd w:val="0"/>
        <w:snapToGrid w:val="0"/>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年   月   日</w:t>
      </w:r>
    </w:p>
    <w:p>
      <w:pPr>
        <w:pStyle w:val="8"/>
        <w:spacing w:line="360" w:lineRule="auto"/>
        <w:ind w:left="0" w:leftChars="0" w:firstLine="0" w:firstLineChars="0"/>
        <w:rPr>
          <w:rFonts w:hint="eastAsia" w:ascii="仿宋" w:hAnsi="仿宋" w:eastAsia="仿宋" w:cs="仿宋"/>
          <w:b/>
          <w:sz w:val="28"/>
          <w:szCs w:val="28"/>
          <w:highlight w:val="none"/>
        </w:rPr>
      </w:pPr>
      <w:r>
        <w:rPr>
          <w:rFonts w:hint="eastAsia" w:ascii="仿宋" w:hAnsi="仿宋" w:eastAsia="仿宋" w:cs="仿宋"/>
          <w:b/>
          <w:sz w:val="28"/>
          <w:szCs w:val="28"/>
          <w:highlight w:val="none"/>
        </w:rPr>
        <w:t>附件</w:t>
      </w:r>
      <w:r>
        <w:rPr>
          <w:rFonts w:hint="eastAsia" w:ascii="仿宋" w:hAnsi="仿宋" w:eastAsia="仿宋" w:cs="仿宋"/>
          <w:b/>
          <w:sz w:val="28"/>
          <w:szCs w:val="28"/>
          <w:highlight w:val="none"/>
          <w:lang w:val="en-US" w:eastAsia="zh-CN"/>
        </w:rPr>
        <w:t>3</w:t>
      </w:r>
      <w:r>
        <w:rPr>
          <w:rFonts w:hint="eastAsia" w:ascii="仿宋" w:hAnsi="仿宋" w:eastAsia="仿宋" w:cs="仿宋"/>
          <w:b/>
          <w:sz w:val="28"/>
          <w:szCs w:val="28"/>
          <w:highlight w:val="none"/>
        </w:rPr>
        <w:t>：</w:t>
      </w:r>
    </w:p>
    <w:p>
      <w:pPr>
        <w:spacing w:line="360" w:lineRule="auto"/>
        <w:rPr>
          <w:rFonts w:hint="eastAsia" w:ascii="仿宋" w:hAnsi="仿宋" w:eastAsia="仿宋" w:cs="仿宋"/>
          <w:b/>
          <w:kern w:val="0"/>
          <w:sz w:val="24"/>
          <w:highlight w:val="none"/>
        </w:rPr>
      </w:pPr>
      <w:r>
        <w:rPr>
          <w:rFonts w:hint="eastAsia" w:ascii="仿宋" w:hAnsi="仿宋" w:eastAsia="仿宋" w:cs="仿宋"/>
          <w:b/>
          <w:bCs/>
          <w:sz w:val="24"/>
          <w:highlight w:val="none"/>
        </w:rPr>
        <w:t>（一）信用中国查询方式或下载信用报告</w:t>
      </w:r>
    </w:p>
    <w:p>
      <w:pPr>
        <w:spacing w:line="360" w:lineRule="auto"/>
        <w:rPr>
          <w:rFonts w:hint="eastAsia" w:ascii="仿宋" w:hAnsi="仿宋" w:eastAsia="仿宋" w:cs="仿宋"/>
          <w:sz w:val="24"/>
          <w:highlight w:val="none"/>
        </w:rPr>
      </w:pPr>
      <w:r>
        <w:rPr>
          <w:rFonts w:hint="eastAsia" w:ascii="仿宋" w:hAnsi="仿宋" w:eastAsia="仿宋" w:cs="仿宋"/>
          <w:sz w:val="24"/>
          <w:highlight w:val="none"/>
        </w:rPr>
        <w:t>1、国家信息中心主办“信用中国”网站地址：</w:t>
      </w: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"http://www.creditchina.gov.cn打开网页后，点击" </w:instrText>
      </w:r>
      <w:r>
        <w:rPr>
          <w:rFonts w:hint="eastAsia" w:ascii="仿宋" w:hAnsi="仿宋" w:eastAsia="仿宋" w:cs="仿宋"/>
          <w:highlight w:val="none"/>
        </w:rPr>
        <w:fldChar w:fldCharType="separate"/>
      </w:r>
      <w:r>
        <w:rPr>
          <w:rFonts w:hint="eastAsia" w:ascii="仿宋" w:hAnsi="仿宋" w:eastAsia="仿宋" w:cs="仿宋"/>
          <w:sz w:val="24"/>
          <w:highlight w:val="none"/>
        </w:rPr>
        <w:t>http://www.creditchina.gov.cn打开网页后，点击“信用服务”。</w:t>
      </w:r>
      <w:r>
        <w:rPr>
          <w:rFonts w:hint="eastAsia" w:ascii="仿宋" w:hAnsi="仿宋" w:eastAsia="仿宋" w:cs="仿宋"/>
          <w:sz w:val="24"/>
          <w:highlight w:val="none"/>
        </w:rPr>
        <w:fldChar w:fldCharType="end"/>
      </w:r>
    </w:p>
    <w:p>
      <w:pPr>
        <w:spacing w:line="360" w:lineRule="auto"/>
        <w:rPr>
          <w:rFonts w:hint="eastAsia" w:ascii="仿宋" w:hAnsi="仿宋" w:eastAsia="仿宋" w:cs="仿宋"/>
          <w:sz w:val="24"/>
          <w:highlight w:val="none"/>
        </w:rPr>
      </w:pPr>
      <w:r>
        <w:rPr>
          <w:rFonts w:hint="eastAsia" w:ascii="仿宋" w:hAnsi="仿宋" w:eastAsia="仿宋" w:cs="仿宋"/>
          <w:sz w:val="24"/>
          <w:highlight w:val="none"/>
        </w:rPr>
        <w:drawing>
          <wp:inline distT="0" distB="0" distL="114300" distR="114300">
            <wp:extent cx="5801995" cy="2755900"/>
            <wp:effectExtent l="0" t="0" r="4445"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801995" cy="2755900"/>
                    </a:xfrm>
                    <a:prstGeom prst="rect">
                      <a:avLst/>
                    </a:prstGeom>
                    <a:noFill/>
                    <a:ln>
                      <a:noFill/>
                    </a:ln>
                  </pic:spPr>
                </pic:pic>
              </a:graphicData>
            </a:graphic>
          </wp:inline>
        </w:drawing>
      </w:r>
    </w:p>
    <w:p>
      <w:pPr>
        <w:spacing w:line="360" w:lineRule="auto"/>
        <w:rPr>
          <w:rFonts w:hint="eastAsia" w:ascii="仿宋" w:hAnsi="仿宋" w:eastAsia="仿宋" w:cs="仿宋"/>
          <w:sz w:val="24"/>
          <w:highlight w:val="none"/>
        </w:rPr>
      </w:pPr>
    </w:p>
    <w:p>
      <w:pPr>
        <w:spacing w:line="360" w:lineRule="auto"/>
        <w:rPr>
          <w:rFonts w:hint="eastAsia" w:ascii="仿宋" w:hAnsi="仿宋" w:eastAsia="仿宋" w:cs="仿宋"/>
          <w:sz w:val="24"/>
          <w:highlight w:val="none"/>
        </w:rPr>
      </w:pPr>
      <w:r>
        <w:rPr>
          <w:rFonts w:hint="eastAsia" w:ascii="仿宋" w:hAnsi="仿宋" w:eastAsia="仿宋" w:cs="仿宋"/>
          <w:sz w:val="24"/>
          <w:highlight w:val="none"/>
        </w:rPr>
        <w:t>2、在以下页面中点击“失信被执行人”</w:t>
      </w:r>
    </w:p>
    <w:p>
      <w:pPr>
        <w:spacing w:line="360" w:lineRule="auto"/>
        <w:rPr>
          <w:rFonts w:hint="eastAsia" w:ascii="仿宋" w:hAnsi="仿宋" w:eastAsia="仿宋" w:cs="仿宋"/>
          <w:kern w:val="0"/>
          <w:sz w:val="24"/>
          <w:highlight w:val="none"/>
        </w:rPr>
        <w:sectPr>
          <w:pgSz w:w="11905" w:h="16838"/>
          <w:pgMar w:top="1701" w:right="1417" w:bottom="1701" w:left="1417" w:header="850" w:footer="992" w:gutter="0"/>
          <w:pgNumType w:fmt="decimal"/>
          <w:cols w:space="0" w:num="1"/>
          <w:titlePg/>
          <w:rtlGutter w:val="0"/>
          <w:docGrid w:type="lines" w:linePitch="328" w:charSpace="0"/>
        </w:sectPr>
      </w:pPr>
      <w:r>
        <w:rPr>
          <w:rFonts w:hint="eastAsia" w:ascii="仿宋" w:hAnsi="仿宋" w:eastAsia="仿宋" w:cs="仿宋"/>
          <w:sz w:val="24"/>
          <w:highlight w:val="none"/>
        </w:rPr>
        <w:drawing>
          <wp:inline distT="0" distB="0" distL="114300" distR="114300">
            <wp:extent cx="5855970" cy="3321050"/>
            <wp:effectExtent l="0" t="0" r="11430" b="1270"/>
            <wp:docPr id="4" name="图片 3" descr="失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失信"/>
                    <pic:cNvPicPr>
                      <a:picLocks noChangeAspect="1"/>
                    </pic:cNvPicPr>
                  </pic:nvPicPr>
                  <pic:blipFill>
                    <a:blip r:embed="rId9"/>
                    <a:stretch>
                      <a:fillRect/>
                    </a:stretch>
                  </pic:blipFill>
                  <pic:spPr>
                    <a:xfrm>
                      <a:off x="0" y="0"/>
                      <a:ext cx="5855970" cy="3321050"/>
                    </a:xfrm>
                    <a:prstGeom prst="rect">
                      <a:avLst/>
                    </a:prstGeom>
                    <a:noFill/>
                    <a:ln>
                      <a:noFill/>
                    </a:ln>
                  </pic:spPr>
                </pic:pic>
              </a:graphicData>
            </a:graphic>
          </wp:inline>
        </w:drawing>
      </w:r>
    </w:p>
    <w:p>
      <w:pPr>
        <w:spacing w:line="360" w:lineRule="auto"/>
        <w:rPr>
          <w:rFonts w:hint="eastAsia" w:ascii="仿宋" w:hAnsi="仿宋" w:eastAsia="仿宋" w:cs="仿宋"/>
          <w:sz w:val="24"/>
          <w:highlight w:val="none"/>
        </w:rPr>
      </w:pPr>
      <w:r>
        <w:rPr>
          <w:rFonts w:hint="eastAsia" w:ascii="仿宋" w:hAnsi="仿宋" w:eastAsia="仿宋" w:cs="仿宋"/>
          <w:sz w:val="24"/>
          <w:highlight w:val="none"/>
        </w:rPr>
        <w:t>3、在查询窗口输入查询企业名称，将查询结果截图</w:t>
      </w:r>
    </w:p>
    <w:p>
      <w:pPr>
        <w:spacing w:line="360" w:lineRule="auto"/>
        <w:rPr>
          <w:rFonts w:hint="eastAsia" w:ascii="仿宋" w:hAnsi="仿宋" w:eastAsia="仿宋" w:cs="仿宋"/>
          <w:highlight w:val="none"/>
        </w:rPr>
      </w:pPr>
      <w:r>
        <w:rPr>
          <w:rFonts w:hint="eastAsia" w:ascii="仿宋" w:hAnsi="仿宋" w:eastAsia="仿宋" w:cs="仿宋"/>
          <w:highlight w:val="none"/>
        </w:rPr>
        <w:drawing>
          <wp:inline distT="0" distB="0" distL="114300" distR="114300">
            <wp:extent cx="5653405" cy="3240405"/>
            <wp:effectExtent l="0" t="0" r="635" b="571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0"/>
                    <a:stretch>
                      <a:fillRect/>
                    </a:stretch>
                  </pic:blipFill>
                  <pic:spPr>
                    <a:xfrm>
                      <a:off x="0" y="0"/>
                      <a:ext cx="5653405" cy="3240405"/>
                    </a:xfrm>
                    <a:prstGeom prst="rect">
                      <a:avLst/>
                    </a:prstGeom>
                    <a:noFill/>
                    <a:ln>
                      <a:noFill/>
                    </a:ln>
                  </pic:spPr>
                </pic:pic>
              </a:graphicData>
            </a:graphic>
          </wp:inline>
        </w:drawing>
      </w:r>
    </w:p>
    <w:p>
      <w:pPr>
        <w:spacing w:line="360" w:lineRule="auto"/>
        <w:rPr>
          <w:rFonts w:hint="eastAsia" w:ascii="仿宋" w:hAnsi="仿宋" w:eastAsia="仿宋" w:cs="仿宋"/>
          <w:b/>
          <w:bCs/>
          <w:sz w:val="24"/>
          <w:highlight w:val="none"/>
        </w:rPr>
      </w:pPr>
      <w:r>
        <w:rPr>
          <w:rFonts w:hint="eastAsia" w:ascii="仿宋" w:hAnsi="仿宋" w:eastAsia="仿宋" w:cs="仿宋"/>
          <w:b/>
          <w:bCs/>
          <w:sz w:val="24"/>
          <w:highlight w:val="none"/>
        </w:rPr>
        <w:t>（二）国家企业信用信息公示系统查询方式</w:t>
      </w:r>
    </w:p>
    <w:p>
      <w:pPr>
        <w:spacing w:line="360" w:lineRule="auto"/>
        <w:rPr>
          <w:rFonts w:hint="eastAsia" w:ascii="仿宋" w:hAnsi="仿宋" w:eastAsia="仿宋" w:cs="仿宋"/>
          <w:sz w:val="24"/>
          <w:highlight w:val="none"/>
        </w:rPr>
      </w:pPr>
      <w:r>
        <w:rPr>
          <w:rFonts w:hint="eastAsia" w:ascii="仿宋" w:hAnsi="仿宋" w:eastAsia="仿宋" w:cs="仿宋"/>
          <w:sz w:val="24"/>
          <w:highlight w:val="none"/>
        </w:rPr>
        <w:t>1、登录“国家企业信用信息公示系统”网站地址：</w:t>
      </w: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"http://www.gsxt.gov.cn/index.html" </w:instrText>
      </w:r>
      <w:r>
        <w:rPr>
          <w:rFonts w:hint="eastAsia" w:ascii="仿宋" w:hAnsi="仿宋" w:eastAsia="仿宋" w:cs="仿宋"/>
          <w:highlight w:val="none"/>
        </w:rPr>
        <w:fldChar w:fldCharType="separate"/>
      </w:r>
      <w:r>
        <w:rPr>
          <w:rFonts w:hint="eastAsia" w:ascii="仿宋" w:hAnsi="仿宋" w:eastAsia="仿宋" w:cs="仿宋"/>
          <w:sz w:val="24"/>
          <w:highlight w:val="none"/>
        </w:rPr>
        <w:t>http://www.gsxt.gov.cn/index.html</w:t>
      </w:r>
      <w:r>
        <w:rPr>
          <w:rFonts w:hint="eastAsia" w:ascii="仿宋" w:hAnsi="仿宋" w:eastAsia="仿宋" w:cs="仿宋"/>
          <w:sz w:val="24"/>
          <w:highlight w:val="none"/>
        </w:rPr>
        <w:fldChar w:fldCharType="end"/>
      </w:r>
      <w:r>
        <w:rPr>
          <w:rFonts w:hint="eastAsia" w:ascii="仿宋" w:hAnsi="仿宋" w:eastAsia="仿宋" w:cs="仿宋"/>
          <w:sz w:val="24"/>
          <w:highlight w:val="none"/>
        </w:rPr>
        <w:t>，在查询窗口输入企业名称，点击查询。</w:t>
      </w:r>
    </w:p>
    <w:p>
      <w:pPr>
        <w:spacing w:line="360" w:lineRule="auto"/>
        <w:jc w:val="center"/>
        <w:rPr>
          <w:rFonts w:hint="eastAsia" w:ascii="仿宋" w:hAnsi="仿宋" w:eastAsia="仿宋" w:cs="仿宋"/>
          <w:kern w:val="0"/>
          <w:sz w:val="24"/>
          <w:highlight w:val="none"/>
        </w:rPr>
      </w:pPr>
      <w:r>
        <w:rPr>
          <w:rFonts w:hint="eastAsia" w:ascii="仿宋" w:hAnsi="仿宋" w:eastAsia="仿宋" w:cs="仿宋"/>
          <w:sz w:val="24"/>
          <w:highlight w:val="none"/>
        </w:rPr>
        <w:drawing>
          <wp:inline distT="0" distB="0" distL="114300" distR="114300">
            <wp:extent cx="5570855" cy="3018155"/>
            <wp:effectExtent l="0" t="0" r="6985" b="1460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1"/>
                    <a:stretch>
                      <a:fillRect/>
                    </a:stretch>
                  </pic:blipFill>
                  <pic:spPr>
                    <a:xfrm>
                      <a:off x="0" y="0"/>
                      <a:ext cx="5570855" cy="3018155"/>
                    </a:xfrm>
                    <a:prstGeom prst="rect">
                      <a:avLst/>
                    </a:prstGeom>
                    <a:noFill/>
                    <a:ln>
                      <a:noFill/>
                    </a:ln>
                  </pic:spPr>
                </pic:pic>
              </a:graphicData>
            </a:graphic>
          </wp:inline>
        </w:drawing>
      </w:r>
      <w:r>
        <w:rPr>
          <w:rFonts w:hint="eastAsia" w:ascii="仿宋" w:hAnsi="仿宋" w:eastAsia="仿宋" w:cs="仿宋"/>
          <w:kern w:val="0"/>
          <w:sz w:val="24"/>
          <w:highlight w:val="none"/>
        </w:rPr>
        <w:br w:type="page"/>
      </w:r>
    </w:p>
    <w:p>
      <w:pPr>
        <w:spacing w:line="360" w:lineRule="auto"/>
        <w:jc w:val="both"/>
        <w:rPr>
          <w:rFonts w:hint="eastAsia" w:ascii="仿宋" w:hAnsi="仿宋" w:eastAsia="仿宋" w:cs="仿宋"/>
          <w:sz w:val="24"/>
          <w:highlight w:val="none"/>
        </w:rPr>
      </w:pPr>
      <w:r>
        <w:rPr>
          <w:rFonts w:hint="eastAsia" w:ascii="仿宋" w:hAnsi="仿宋" w:eastAsia="仿宋" w:cs="仿宋"/>
          <w:bCs/>
          <w:sz w:val="24"/>
          <w:highlight w:val="none"/>
        </w:rPr>
        <w:t>2、点击进入企业界面。</w:t>
      </w:r>
    </w:p>
    <w:p>
      <w:pPr>
        <w:spacing w:line="360" w:lineRule="auto"/>
        <w:ind w:right="-1029" w:rightChars="-490"/>
        <w:jc w:val="left"/>
        <w:rPr>
          <w:rFonts w:hint="eastAsia" w:ascii="仿宋" w:hAnsi="仿宋" w:eastAsia="仿宋" w:cs="仿宋"/>
          <w:sz w:val="24"/>
          <w:highlight w:val="none"/>
        </w:rPr>
      </w:pPr>
    </w:p>
    <w:p>
      <w:pPr>
        <w:spacing w:line="360" w:lineRule="auto"/>
        <w:ind w:right="-1029" w:rightChars="-490"/>
        <w:rPr>
          <w:rFonts w:hint="eastAsia" w:ascii="仿宋" w:hAnsi="仿宋" w:eastAsia="仿宋" w:cs="仿宋"/>
          <w:bCs/>
          <w:sz w:val="24"/>
          <w:highlight w:val="none"/>
        </w:rPr>
      </w:pPr>
      <w:r>
        <w:rPr>
          <w:rFonts w:hint="eastAsia" w:ascii="仿宋" w:hAnsi="仿宋" w:eastAsia="仿宋" w:cs="仿宋"/>
          <w:sz w:val="24"/>
          <w:highlight w:val="none"/>
        </w:rPr>
        <w:drawing>
          <wp:inline distT="0" distB="0" distL="114300" distR="114300">
            <wp:extent cx="5713095" cy="2900680"/>
            <wp:effectExtent l="0" t="0" r="1905" b="1016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2"/>
                    <a:stretch>
                      <a:fillRect/>
                    </a:stretch>
                  </pic:blipFill>
                  <pic:spPr>
                    <a:xfrm>
                      <a:off x="0" y="0"/>
                      <a:ext cx="5713095" cy="2900680"/>
                    </a:xfrm>
                    <a:prstGeom prst="rect">
                      <a:avLst/>
                    </a:prstGeom>
                    <a:noFill/>
                    <a:ln>
                      <a:noFill/>
                    </a:ln>
                  </pic:spPr>
                </pic:pic>
              </a:graphicData>
            </a:graphic>
          </wp:inline>
        </w:drawing>
      </w:r>
    </w:p>
    <w:p>
      <w:pPr>
        <w:spacing w:line="360" w:lineRule="auto"/>
        <w:ind w:right="-1029" w:rightChars="-490"/>
        <w:rPr>
          <w:rFonts w:hint="eastAsia" w:ascii="仿宋" w:hAnsi="仿宋" w:eastAsia="仿宋" w:cs="仿宋"/>
          <w:sz w:val="24"/>
          <w:highlight w:val="none"/>
        </w:rPr>
      </w:pPr>
    </w:p>
    <w:p>
      <w:pPr>
        <w:spacing w:line="360" w:lineRule="auto"/>
        <w:ind w:right="-1029" w:rightChars="-490"/>
        <w:jc w:val="left"/>
        <w:rPr>
          <w:rFonts w:hint="eastAsia" w:ascii="仿宋" w:hAnsi="仿宋" w:eastAsia="仿宋" w:cs="仿宋"/>
          <w:b/>
          <w:bCs/>
          <w:kern w:val="0"/>
          <w:sz w:val="24"/>
          <w:highlight w:val="none"/>
        </w:rPr>
      </w:pPr>
      <w:r>
        <w:rPr>
          <w:rFonts w:hint="eastAsia" w:ascii="仿宋" w:hAnsi="仿宋" w:eastAsia="仿宋" w:cs="仿宋"/>
          <w:sz w:val="24"/>
          <w:highlight w:val="none"/>
        </w:rPr>
        <w:t>3、</w:t>
      </w:r>
      <w:r>
        <w:rPr>
          <w:rFonts w:hint="eastAsia" w:ascii="仿宋" w:hAnsi="仿宋" w:eastAsia="仿宋" w:cs="仿宋"/>
          <w:bCs/>
          <w:sz w:val="24"/>
          <w:highlight w:val="none"/>
        </w:rPr>
        <w:t>点击“列入严重违法失信企业名单（黑名单）信息”，查询后截图。</w:t>
      </w:r>
    </w:p>
    <w:p>
      <w:pPr>
        <w:spacing w:line="360" w:lineRule="auto"/>
        <w:rPr>
          <w:rFonts w:hint="eastAsia" w:ascii="仿宋" w:hAnsi="仿宋" w:eastAsia="仿宋" w:cs="仿宋"/>
          <w:b/>
          <w:bCs/>
          <w:sz w:val="24"/>
          <w:highlight w:val="none"/>
        </w:rPr>
        <w:sectPr>
          <w:footerReference r:id="rId6" w:type="first"/>
          <w:headerReference r:id="rId4" w:type="default"/>
          <w:footerReference r:id="rId5" w:type="default"/>
          <w:pgSz w:w="11905" w:h="16838"/>
          <w:pgMar w:top="1701" w:right="1417" w:bottom="1701" w:left="1417" w:header="850" w:footer="992" w:gutter="0"/>
          <w:pgNumType w:fmt="decimal"/>
          <w:cols w:space="0" w:num="1"/>
          <w:titlePg/>
          <w:rtlGutter w:val="0"/>
          <w:docGrid w:type="lines" w:linePitch="328" w:charSpace="0"/>
        </w:sectPr>
      </w:pPr>
      <w:r>
        <w:rPr>
          <w:rFonts w:hint="eastAsia" w:ascii="仿宋" w:hAnsi="仿宋" w:eastAsia="仿宋" w:cs="仿宋"/>
          <w:sz w:val="24"/>
          <w:highlight w:val="none"/>
        </w:rPr>
        <w:drawing>
          <wp:inline distT="0" distB="0" distL="114300" distR="114300">
            <wp:extent cx="5711825" cy="2983230"/>
            <wp:effectExtent l="0" t="0" r="3175" b="381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13"/>
                    <a:stretch>
                      <a:fillRect/>
                    </a:stretch>
                  </pic:blipFill>
                  <pic:spPr>
                    <a:xfrm>
                      <a:off x="0" y="0"/>
                      <a:ext cx="5711825" cy="2983230"/>
                    </a:xfrm>
                    <a:prstGeom prst="rect">
                      <a:avLst/>
                    </a:prstGeom>
                    <a:noFill/>
                    <a:ln>
                      <a:noFill/>
                    </a:ln>
                  </pic:spPr>
                </pic:pic>
              </a:graphicData>
            </a:graphic>
          </wp:inline>
        </w:drawing>
      </w:r>
    </w:p>
    <w:p>
      <w:pPr>
        <w:spacing w:line="360" w:lineRule="auto"/>
        <w:rPr>
          <w:rFonts w:hint="eastAsia" w:ascii="仿宋" w:hAnsi="仿宋" w:eastAsia="仿宋" w:cs="仿宋"/>
          <w:b/>
          <w:bCs/>
          <w:sz w:val="24"/>
          <w:highlight w:val="none"/>
        </w:rPr>
      </w:pPr>
      <w:r>
        <w:rPr>
          <w:rFonts w:hint="eastAsia" w:ascii="仿宋" w:hAnsi="仿宋" w:eastAsia="仿宋" w:cs="仿宋"/>
          <w:b/>
          <w:bCs/>
          <w:sz w:val="24"/>
          <w:highlight w:val="none"/>
        </w:rPr>
        <w:t>（三）中国裁判文书网查询方式</w:t>
      </w:r>
    </w:p>
    <w:p>
      <w:pPr>
        <w:spacing w:before="161" w:beforeLines="50" w:after="161" w:afterLines="50" w:line="360" w:lineRule="auto"/>
        <w:rPr>
          <w:rFonts w:hint="eastAsia" w:ascii="仿宋" w:hAnsi="仿宋" w:eastAsia="仿宋" w:cs="仿宋"/>
          <w:bCs/>
          <w:sz w:val="24"/>
          <w:highlight w:val="none"/>
          <w:lang w:eastAsia="zh-CN"/>
        </w:rPr>
      </w:pPr>
      <w:r>
        <w:rPr>
          <w:rFonts w:hint="eastAsia" w:ascii="仿宋" w:hAnsi="仿宋" w:eastAsia="仿宋" w:cs="仿宋"/>
          <w:bCs/>
          <w:sz w:val="24"/>
          <w:highlight w:val="none"/>
          <w:lang w:val="en-US" w:eastAsia="zh-CN"/>
        </w:rPr>
        <w:t>1</w:t>
      </w:r>
      <w:r>
        <w:rPr>
          <w:rFonts w:hint="eastAsia" w:ascii="仿宋" w:hAnsi="仿宋" w:eastAsia="仿宋" w:cs="仿宋"/>
          <w:bCs/>
          <w:sz w:val="24"/>
          <w:highlight w:val="none"/>
          <w:lang w:eastAsia="zh-CN"/>
        </w:rPr>
        <w:t>、供应商查询</w:t>
      </w:r>
    </w:p>
    <w:p>
      <w:pPr>
        <w:spacing w:before="161" w:beforeLines="50" w:after="161" w:afterLines="50" w:line="360" w:lineRule="auto"/>
        <w:rPr>
          <w:rFonts w:hint="eastAsia" w:ascii="仿宋" w:hAnsi="仿宋" w:eastAsia="仿宋" w:cs="仿宋"/>
          <w:bCs/>
          <w:sz w:val="24"/>
          <w:highlight w:val="none"/>
          <w:lang w:eastAsia="zh-CN"/>
        </w:rPr>
      </w:pPr>
      <w:r>
        <w:rPr>
          <w:rFonts w:hint="eastAsia" w:ascii="仿宋" w:hAnsi="仿宋" w:eastAsia="仿宋" w:cs="仿宋"/>
          <w:bCs/>
          <w:sz w:val="24"/>
          <w:highlight w:val="none"/>
        </w:rPr>
        <w:t>（1）打开“中国裁判文书网”网站（http://wenshu.court.gov.cn/），点击高级检索</w:t>
      </w:r>
      <w:r>
        <w:rPr>
          <w:rFonts w:hint="eastAsia" w:ascii="仿宋" w:hAnsi="仿宋" w:eastAsia="仿宋" w:cs="仿宋"/>
          <w:bCs/>
          <w:sz w:val="24"/>
          <w:highlight w:val="none"/>
          <w:lang w:eastAsia="zh-CN"/>
        </w:rPr>
        <w:t>；</w:t>
      </w:r>
    </w:p>
    <w:p>
      <w:pPr>
        <w:spacing w:before="161" w:beforeLines="50" w:after="161" w:afterLines="50" w:line="360" w:lineRule="auto"/>
        <w:rPr>
          <w:rFonts w:hint="eastAsia" w:ascii="仿宋" w:hAnsi="仿宋" w:eastAsia="仿宋" w:cs="仿宋"/>
          <w:bCs/>
          <w:sz w:val="24"/>
          <w:highlight w:val="none"/>
          <w:lang w:eastAsia="zh-CN"/>
        </w:rPr>
      </w:pPr>
      <w:r>
        <w:rPr>
          <w:rFonts w:hint="eastAsia" w:ascii="仿宋" w:hAnsi="仿宋" w:eastAsia="仿宋" w:cs="仿宋"/>
          <w:bCs/>
          <w:sz w:val="24"/>
          <w:highlight w:val="none"/>
        </w:rPr>
        <w:t>（2）在全文检索中输入</w:t>
      </w:r>
      <w:r>
        <w:rPr>
          <w:rFonts w:hint="eastAsia" w:ascii="仿宋" w:hAnsi="仿宋" w:eastAsia="仿宋" w:cs="仿宋"/>
          <w:bCs/>
          <w:sz w:val="24"/>
          <w:highlight w:val="none"/>
          <w:lang w:val="en-US" w:eastAsia="zh-CN"/>
        </w:rPr>
        <w:t>“行贿罪”</w:t>
      </w:r>
      <w:r>
        <w:rPr>
          <w:rFonts w:hint="eastAsia" w:ascii="仿宋" w:hAnsi="仿宋" w:eastAsia="仿宋" w:cs="仿宋"/>
          <w:bCs/>
          <w:sz w:val="24"/>
          <w:highlight w:val="none"/>
        </w:rPr>
        <w:t>，并选择“全文”</w:t>
      </w:r>
      <w:r>
        <w:rPr>
          <w:rFonts w:hint="eastAsia" w:ascii="仿宋" w:hAnsi="仿宋" w:eastAsia="仿宋" w:cs="仿宋"/>
          <w:bCs/>
          <w:sz w:val="24"/>
          <w:highlight w:val="none"/>
          <w:lang w:eastAsia="zh-CN"/>
        </w:rPr>
        <w:t>；</w:t>
      </w:r>
    </w:p>
    <w:p>
      <w:pPr>
        <w:spacing w:before="161" w:beforeLines="50" w:after="161" w:afterLines="50" w:line="360" w:lineRule="auto"/>
        <w:rPr>
          <w:rFonts w:hint="eastAsia" w:ascii="仿宋" w:hAnsi="仿宋" w:eastAsia="仿宋" w:cs="仿宋"/>
          <w:bCs/>
          <w:sz w:val="24"/>
          <w:highlight w:val="none"/>
        </w:rPr>
      </w:pPr>
      <w:r>
        <w:rPr>
          <w:rFonts w:hint="eastAsia" w:ascii="仿宋" w:hAnsi="仿宋" w:eastAsia="仿宋" w:cs="仿宋"/>
          <w:bCs/>
          <w:sz w:val="24"/>
          <w:highlight w:val="none"/>
        </w:rPr>
        <w:t>（3）</w:t>
      </w:r>
      <w:r>
        <w:rPr>
          <w:rFonts w:hint="eastAsia" w:ascii="仿宋" w:hAnsi="仿宋" w:eastAsia="仿宋" w:cs="仿宋"/>
          <w:bCs/>
          <w:sz w:val="24"/>
          <w:highlight w:val="none"/>
          <w:lang w:val="en-US" w:eastAsia="zh-CN"/>
        </w:rPr>
        <w:t>在“当事人”处输入供应商全称；</w:t>
      </w:r>
    </w:p>
    <w:p>
      <w:pPr>
        <w:spacing w:before="161" w:beforeLines="50" w:after="161" w:afterLines="50" w:line="360" w:lineRule="auto"/>
        <w:rPr>
          <w:rFonts w:hint="eastAsia" w:ascii="仿宋" w:hAnsi="仿宋" w:eastAsia="仿宋" w:cs="仿宋"/>
          <w:bCs/>
          <w:sz w:val="24"/>
          <w:highlight w:val="none"/>
          <w:lang w:val="en-US" w:eastAsia="zh-CN"/>
        </w:rPr>
      </w:pPr>
      <w:r>
        <w:rPr>
          <w:rFonts w:hint="eastAsia" w:ascii="仿宋" w:hAnsi="仿宋" w:eastAsia="仿宋" w:cs="仿宋"/>
          <w:bCs/>
          <w:sz w:val="24"/>
          <w:highlight w:val="none"/>
        </w:rPr>
        <w:t>（4）在裁判日期选择</w:t>
      </w:r>
      <w:r>
        <w:rPr>
          <w:rFonts w:hint="eastAsia" w:ascii="仿宋" w:hAnsi="仿宋" w:eastAsia="仿宋" w:cs="仿宋"/>
          <w:bCs/>
          <w:sz w:val="24"/>
          <w:highlight w:val="none"/>
          <w:lang w:val="en-US" w:eastAsia="zh-CN"/>
        </w:rPr>
        <w:t>近三年</w:t>
      </w:r>
      <w:r>
        <w:rPr>
          <w:rFonts w:hint="eastAsia" w:ascii="仿宋" w:hAnsi="仿宋" w:eastAsia="仿宋" w:cs="仿宋"/>
          <w:bCs/>
          <w:sz w:val="24"/>
          <w:highlight w:val="none"/>
          <w:lang w:eastAsia="zh-CN"/>
        </w:rPr>
        <w:t>，</w:t>
      </w:r>
      <w:r>
        <w:rPr>
          <w:rFonts w:hint="eastAsia" w:ascii="仿宋" w:hAnsi="仿宋" w:eastAsia="仿宋" w:cs="仿宋"/>
          <w:bCs/>
          <w:sz w:val="24"/>
          <w:highlight w:val="none"/>
        </w:rPr>
        <w:t>点击检索</w:t>
      </w:r>
      <w:r>
        <w:rPr>
          <w:rFonts w:hint="eastAsia" w:ascii="仿宋" w:hAnsi="仿宋" w:eastAsia="仿宋" w:cs="仿宋"/>
          <w:bCs/>
          <w:sz w:val="24"/>
          <w:highlight w:val="none"/>
          <w:lang w:eastAsia="zh-CN"/>
        </w:rPr>
        <w:t>；</w:t>
      </w:r>
    </w:p>
    <w:p>
      <w:pPr>
        <w:spacing w:before="161" w:beforeLines="50" w:after="161" w:afterLines="50" w:line="360" w:lineRule="auto"/>
        <w:rPr>
          <w:rFonts w:hint="eastAsia" w:ascii="仿宋" w:hAnsi="仿宋" w:eastAsia="仿宋" w:cs="仿宋"/>
          <w:bCs/>
          <w:sz w:val="24"/>
          <w:highlight w:val="none"/>
          <w:lang w:eastAsia="zh-CN"/>
        </w:rPr>
      </w:pPr>
      <w:r>
        <w:rPr>
          <w:rFonts w:hint="eastAsia" w:ascii="仿宋" w:hAnsi="仿宋" w:eastAsia="仿宋" w:cs="仿宋"/>
          <w:bCs/>
          <w:sz w:val="24"/>
          <w:highlight w:val="none"/>
          <w:lang w:val="en-US" w:eastAsia="zh-CN"/>
        </w:rPr>
        <w:t>（5）截取成功截图如下（须截取到左上角的时间）。</w:t>
      </w:r>
    </w:p>
    <w:p>
      <w:pPr>
        <w:spacing w:before="161" w:beforeLines="50" w:after="161" w:afterLines="50" w:line="360" w:lineRule="auto"/>
        <w:rPr>
          <w:rFonts w:hint="eastAsia" w:ascii="仿宋" w:hAnsi="仿宋" w:eastAsia="仿宋" w:cs="仿宋"/>
          <w:bCs/>
          <w:sz w:val="24"/>
          <w:highlight w:val="none"/>
          <w:lang w:eastAsia="zh-CN"/>
        </w:rPr>
      </w:pPr>
      <w:r>
        <w:rPr>
          <w:rFonts w:hint="eastAsia" w:ascii="仿宋" w:hAnsi="仿宋" w:eastAsia="仿宋" w:cs="仿宋"/>
          <w:bCs/>
          <w:sz w:val="24"/>
          <w:highlight w:val="none"/>
          <w:lang w:eastAsia="zh-CN"/>
        </w:rPr>
        <w:drawing>
          <wp:inline distT="0" distB="0" distL="114300" distR="114300">
            <wp:extent cx="5488305" cy="3270885"/>
            <wp:effectExtent l="0" t="0" r="0" b="5715"/>
            <wp:docPr id="31" name="图片 3" descr="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descr="截图"/>
                    <pic:cNvPicPr>
                      <a:picLocks noChangeAspect="1"/>
                    </pic:cNvPicPr>
                  </pic:nvPicPr>
                  <pic:blipFill>
                    <a:blip r:embed="rId14"/>
                    <a:srcRect l="-1118" r="-2257"/>
                    <a:stretch>
                      <a:fillRect/>
                    </a:stretch>
                  </pic:blipFill>
                  <pic:spPr>
                    <a:xfrm>
                      <a:off x="0" y="0"/>
                      <a:ext cx="5488305" cy="3270885"/>
                    </a:xfrm>
                    <a:prstGeom prst="rect">
                      <a:avLst/>
                    </a:prstGeom>
                    <a:noFill/>
                    <a:ln>
                      <a:noFill/>
                    </a:ln>
                  </pic:spPr>
                </pic:pic>
              </a:graphicData>
            </a:graphic>
          </wp:inline>
        </w:drawing>
      </w:r>
      <w:r>
        <w:rPr>
          <w:rFonts w:hint="eastAsia" w:ascii="仿宋" w:hAnsi="仿宋" w:eastAsia="仿宋" w:cs="仿宋"/>
          <w:bCs/>
          <w:sz w:val="24"/>
          <w:highlight w:val="none"/>
          <w:lang w:eastAsia="zh-CN"/>
        </w:rPr>
        <w:br w:type="page"/>
      </w:r>
      <w:r>
        <w:rPr>
          <w:rFonts w:hint="eastAsia" w:ascii="仿宋" w:hAnsi="仿宋" w:eastAsia="仿宋" w:cs="仿宋"/>
          <w:bCs/>
          <w:sz w:val="24"/>
          <w:highlight w:val="none"/>
          <w:lang w:val="en-US" w:eastAsia="zh-CN"/>
        </w:rPr>
        <w:t>2</w:t>
      </w:r>
      <w:r>
        <w:rPr>
          <w:rFonts w:hint="eastAsia" w:ascii="仿宋" w:hAnsi="仿宋" w:eastAsia="仿宋" w:cs="仿宋"/>
          <w:bCs/>
          <w:sz w:val="24"/>
          <w:highlight w:val="none"/>
          <w:lang w:eastAsia="zh-CN"/>
        </w:rPr>
        <w:t>、企业法定代表人查询</w:t>
      </w:r>
    </w:p>
    <w:p>
      <w:pPr>
        <w:spacing w:before="161" w:beforeLines="50" w:after="161" w:afterLines="50" w:line="360" w:lineRule="auto"/>
        <w:rPr>
          <w:rFonts w:hint="eastAsia" w:ascii="仿宋" w:hAnsi="仿宋" w:eastAsia="仿宋" w:cs="仿宋"/>
          <w:bCs/>
          <w:sz w:val="24"/>
          <w:highlight w:val="none"/>
          <w:lang w:eastAsia="zh-CN"/>
        </w:rPr>
      </w:pPr>
      <w:r>
        <w:rPr>
          <w:rFonts w:hint="eastAsia" w:ascii="仿宋" w:hAnsi="仿宋" w:eastAsia="仿宋" w:cs="仿宋"/>
          <w:bCs/>
          <w:sz w:val="24"/>
          <w:highlight w:val="none"/>
        </w:rPr>
        <w:t>（1）打开“中国裁判文书网”网站（http://wenshu.court.gov.cn/），点击高级检索</w:t>
      </w:r>
      <w:r>
        <w:rPr>
          <w:rFonts w:hint="eastAsia" w:ascii="仿宋" w:hAnsi="仿宋" w:eastAsia="仿宋" w:cs="仿宋"/>
          <w:bCs/>
          <w:sz w:val="24"/>
          <w:highlight w:val="none"/>
          <w:lang w:eastAsia="zh-CN"/>
        </w:rPr>
        <w:t>；</w:t>
      </w:r>
    </w:p>
    <w:p>
      <w:pPr>
        <w:spacing w:before="161" w:beforeLines="50" w:after="161" w:afterLines="50" w:line="360" w:lineRule="auto"/>
        <w:rPr>
          <w:rFonts w:hint="eastAsia" w:ascii="仿宋" w:hAnsi="仿宋" w:eastAsia="仿宋" w:cs="仿宋"/>
          <w:bCs/>
          <w:sz w:val="24"/>
          <w:highlight w:val="none"/>
          <w:lang w:eastAsia="zh-CN"/>
        </w:rPr>
      </w:pPr>
      <w:r>
        <w:rPr>
          <w:rFonts w:hint="eastAsia" w:ascii="仿宋" w:hAnsi="仿宋" w:eastAsia="仿宋" w:cs="仿宋"/>
          <w:bCs/>
          <w:sz w:val="24"/>
          <w:highlight w:val="none"/>
        </w:rPr>
        <w:t>（2）在全文检索中输入“行贿罪”，并选择“全文”</w:t>
      </w:r>
      <w:r>
        <w:rPr>
          <w:rFonts w:hint="eastAsia" w:ascii="仿宋" w:hAnsi="仿宋" w:eastAsia="仿宋" w:cs="仿宋"/>
          <w:bCs/>
          <w:sz w:val="24"/>
          <w:highlight w:val="none"/>
          <w:lang w:eastAsia="zh-CN"/>
        </w:rPr>
        <w:t>，</w:t>
      </w:r>
      <w:r>
        <w:rPr>
          <w:rFonts w:hint="eastAsia" w:ascii="仿宋" w:hAnsi="仿宋" w:eastAsia="仿宋" w:cs="仿宋"/>
          <w:bCs/>
          <w:sz w:val="24"/>
          <w:highlight w:val="none"/>
        </w:rPr>
        <w:t>在“当事人”处输入企业法定代表人姓名</w:t>
      </w:r>
      <w:r>
        <w:rPr>
          <w:rFonts w:hint="eastAsia" w:ascii="仿宋" w:hAnsi="仿宋" w:eastAsia="仿宋" w:cs="仿宋"/>
          <w:bCs/>
          <w:sz w:val="24"/>
          <w:highlight w:val="none"/>
          <w:lang w:eastAsia="zh-CN"/>
        </w:rPr>
        <w:t>；</w:t>
      </w:r>
    </w:p>
    <w:p>
      <w:pPr>
        <w:spacing w:before="161" w:beforeLines="50" w:after="161" w:afterLines="50" w:line="360" w:lineRule="auto"/>
        <w:rPr>
          <w:rFonts w:hint="eastAsia" w:ascii="仿宋" w:hAnsi="仿宋" w:eastAsia="仿宋" w:cs="仿宋"/>
          <w:bCs/>
          <w:sz w:val="24"/>
          <w:highlight w:val="none"/>
          <w:lang w:eastAsia="zh-CN"/>
        </w:rPr>
      </w:pPr>
      <w:r>
        <w:rPr>
          <w:rFonts w:hint="eastAsia" w:ascii="仿宋" w:hAnsi="仿宋" w:eastAsia="仿宋" w:cs="仿宋"/>
          <w:bCs/>
          <w:sz w:val="24"/>
          <w:highlight w:val="none"/>
        </w:rPr>
        <w:t>（</w:t>
      </w:r>
      <w:r>
        <w:rPr>
          <w:rFonts w:hint="eastAsia" w:ascii="仿宋" w:hAnsi="仿宋" w:eastAsia="仿宋" w:cs="仿宋"/>
          <w:bCs/>
          <w:sz w:val="24"/>
          <w:highlight w:val="none"/>
          <w:lang w:val="en-US" w:eastAsia="zh-CN"/>
        </w:rPr>
        <w:t>3</w:t>
      </w:r>
      <w:r>
        <w:rPr>
          <w:rFonts w:hint="eastAsia" w:ascii="仿宋" w:hAnsi="仿宋" w:eastAsia="仿宋" w:cs="仿宋"/>
          <w:bCs/>
          <w:sz w:val="24"/>
          <w:highlight w:val="none"/>
        </w:rPr>
        <w:t>）在裁判日期选择</w:t>
      </w:r>
      <w:r>
        <w:rPr>
          <w:rFonts w:hint="eastAsia" w:ascii="仿宋" w:hAnsi="仿宋" w:eastAsia="仿宋" w:cs="仿宋"/>
          <w:bCs/>
          <w:sz w:val="24"/>
          <w:highlight w:val="none"/>
          <w:lang w:val="en-US" w:eastAsia="zh-CN"/>
        </w:rPr>
        <w:t>近三年</w:t>
      </w:r>
      <w:r>
        <w:rPr>
          <w:rFonts w:hint="eastAsia" w:ascii="仿宋" w:hAnsi="仿宋" w:eastAsia="仿宋" w:cs="仿宋"/>
          <w:bCs/>
          <w:sz w:val="24"/>
          <w:highlight w:val="none"/>
          <w:lang w:eastAsia="zh-CN"/>
        </w:rPr>
        <w:t>，</w:t>
      </w:r>
      <w:r>
        <w:rPr>
          <w:rFonts w:hint="eastAsia" w:ascii="仿宋" w:hAnsi="仿宋" w:eastAsia="仿宋" w:cs="仿宋"/>
          <w:bCs/>
          <w:sz w:val="24"/>
          <w:highlight w:val="none"/>
        </w:rPr>
        <w:t>点击检索</w:t>
      </w:r>
      <w:r>
        <w:rPr>
          <w:rFonts w:hint="eastAsia" w:ascii="仿宋" w:hAnsi="仿宋" w:eastAsia="仿宋" w:cs="仿宋"/>
          <w:bCs/>
          <w:sz w:val="24"/>
          <w:highlight w:val="none"/>
          <w:lang w:eastAsia="zh-CN"/>
        </w:rPr>
        <w:t>；</w:t>
      </w:r>
    </w:p>
    <w:p>
      <w:pPr>
        <w:spacing w:before="161" w:beforeLines="50" w:after="161" w:afterLines="50" w:line="360" w:lineRule="auto"/>
        <w:rPr>
          <w:rFonts w:hint="eastAsia" w:ascii="仿宋" w:hAnsi="仿宋" w:eastAsia="仿宋" w:cs="仿宋"/>
          <w:bCs/>
          <w:sz w:val="24"/>
          <w:highlight w:val="none"/>
          <w:lang w:eastAsia="zh-CN"/>
        </w:rPr>
      </w:pPr>
      <w:r>
        <w:rPr>
          <w:rFonts w:hint="eastAsia" w:ascii="仿宋" w:hAnsi="仿宋" w:eastAsia="仿宋" w:cs="仿宋"/>
          <w:bCs/>
          <w:sz w:val="24"/>
          <w:highlight w:val="none"/>
        </w:rPr>
        <w:t>（</w:t>
      </w:r>
      <w:r>
        <w:rPr>
          <w:rFonts w:hint="eastAsia" w:ascii="仿宋" w:hAnsi="仿宋" w:eastAsia="仿宋" w:cs="仿宋"/>
          <w:bCs/>
          <w:sz w:val="24"/>
          <w:highlight w:val="none"/>
          <w:lang w:val="en-US" w:eastAsia="zh-CN"/>
        </w:rPr>
        <w:t>4</w:t>
      </w:r>
      <w:r>
        <w:rPr>
          <w:rFonts w:hint="eastAsia" w:ascii="仿宋" w:hAnsi="仿宋" w:eastAsia="仿宋" w:cs="仿宋"/>
          <w:bCs/>
          <w:sz w:val="24"/>
          <w:highlight w:val="none"/>
        </w:rPr>
        <w:t>）然后点击保存搜索条件；再次点击高级检索，在全文检索中输入供应商全称，并选择“全文”</w:t>
      </w:r>
      <w:r>
        <w:rPr>
          <w:rFonts w:hint="eastAsia" w:ascii="仿宋" w:hAnsi="仿宋" w:eastAsia="仿宋" w:cs="仿宋"/>
          <w:bCs/>
          <w:sz w:val="24"/>
          <w:highlight w:val="none"/>
          <w:lang w:eastAsia="zh-CN"/>
        </w:rPr>
        <w:t>，</w:t>
      </w:r>
      <w:r>
        <w:rPr>
          <w:rFonts w:hint="eastAsia" w:ascii="仿宋" w:hAnsi="仿宋" w:eastAsia="仿宋" w:cs="仿宋"/>
          <w:bCs/>
          <w:sz w:val="24"/>
          <w:highlight w:val="none"/>
        </w:rPr>
        <w:t>点击检索</w:t>
      </w:r>
      <w:r>
        <w:rPr>
          <w:rFonts w:hint="eastAsia" w:ascii="仿宋" w:hAnsi="仿宋" w:eastAsia="仿宋" w:cs="仿宋"/>
          <w:bCs/>
          <w:sz w:val="24"/>
          <w:highlight w:val="none"/>
          <w:lang w:eastAsia="zh-CN"/>
        </w:rPr>
        <w:t>；</w:t>
      </w:r>
    </w:p>
    <w:p>
      <w:pPr>
        <w:spacing w:before="161" w:beforeLines="50" w:after="161" w:afterLines="50" w:line="360" w:lineRule="auto"/>
        <w:rPr>
          <w:rFonts w:hint="eastAsia" w:ascii="仿宋" w:hAnsi="仿宋" w:eastAsia="仿宋" w:cs="仿宋"/>
          <w:bCs/>
          <w:sz w:val="24"/>
          <w:highlight w:val="none"/>
        </w:rPr>
      </w:pPr>
      <w:r>
        <w:rPr>
          <w:rFonts w:hint="eastAsia" w:ascii="仿宋" w:hAnsi="仿宋" w:eastAsia="仿宋" w:cs="仿宋"/>
          <w:bCs/>
          <w:sz w:val="24"/>
          <w:highlight w:val="none"/>
        </w:rPr>
        <w:t>（</w:t>
      </w:r>
      <w:r>
        <w:rPr>
          <w:rFonts w:hint="eastAsia" w:ascii="仿宋" w:hAnsi="仿宋" w:eastAsia="仿宋" w:cs="仿宋"/>
          <w:bCs/>
          <w:sz w:val="24"/>
          <w:highlight w:val="none"/>
          <w:lang w:val="en-US" w:eastAsia="zh-CN"/>
        </w:rPr>
        <w:t>5</w:t>
      </w:r>
      <w:r>
        <w:rPr>
          <w:rFonts w:hint="eastAsia" w:ascii="仿宋" w:hAnsi="仿宋" w:eastAsia="仿宋" w:cs="仿宋"/>
          <w:bCs/>
          <w:sz w:val="24"/>
          <w:highlight w:val="none"/>
        </w:rPr>
        <w:t>）截取成功截图如下（须截取到左上角的时间）</w:t>
      </w:r>
      <w:r>
        <w:rPr>
          <w:rFonts w:hint="eastAsia" w:ascii="仿宋" w:hAnsi="仿宋" w:eastAsia="仿宋" w:cs="仿宋"/>
          <w:bCs/>
          <w:sz w:val="24"/>
          <w:highlight w:val="none"/>
          <w:lang w:eastAsia="zh-CN"/>
        </w:rPr>
        <w:t>。</w:t>
      </w:r>
      <w:r>
        <w:rPr>
          <w:rFonts w:hint="eastAsia" w:ascii="仿宋" w:hAnsi="仿宋" w:eastAsia="仿宋" w:cs="仿宋"/>
          <w:bCs/>
          <w:sz w:val="24"/>
          <w:highlight w:val="none"/>
          <w:lang w:eastAsia="zh-CN"/>
        </w:rPr>
        <w:drawing>
          <wp:inline distT="0" distB="0" distL="114300" distR="114300">
            <wp:extent cx="5280660" cy="3390900"/>
            <wp:effectExtent l="0" t="0" r="7620" b="7620"/>
            <wp:docPr id="21" name="图片 4" descr="图片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descr="图片1_副本"/>
                    <pic:cNvPicPr>
                      <a:picLocks noChangeAspect="1"/>
                    </pic:cNvPicPr>
                  </pic:nvPicPr>
                  <pic:blipFill>
                    <a:blip r:embed="rId15"/>
                    <a:stretch>
                      <a:fillRect/>
                    </a:stretch>
                  </pic:blipFill>
                  <pic:spPr>
                    <a:xfrm>
                      <a:off x="0" y="0"/>
                      <a:ext cx="5280660" cy="339090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10</w:t>
                    </w:r>
                    <w:r>
                      <w:fldChar w:fldCharType="end"/>
                    </w:r>
                  </w:p>
                </w:txbxContent>
              </v:textbox>
            </v:shape>
          </w:pict>
        </mc:Fallback>
      </mc:AlternateConten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rPr>
        <w:sz w:val="20"/>
        <w:szCs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kYTdiNGI1Y2FiMjQ1N2E4MTgyOGFiN2EyYTcxYzEifQ=="/>
  </w:docVars>
  <w:rsids>
    <w:rsidRoot w:val="27147DE6"/>
    <w:rsid w:val="064F78C5"/>
    <w:rsid w:val="08AC4EF1"/>
    <w:rsid w:val="0D2F609F"/>
    <w:rsid w:val="0D8B27AF"/>
    <w:rsid w:val="129F6A0F"/>
    <w:rsid w:val="19F323F8"/>
    <w:rsid w:val="27147DE6"/>
    <w:rsid w:val="27914A0E"/>
    <w:rsid w:val="28F81C8A"/>
    <w:rsid w:val="2BF57C61"/>
    <w:rsid w:val="301754FD"/>
    <w:rsid w:val="34B34216"/>
    <w:rsid w:val="34EC0723"/>
    <w:rsid w:val="38EE6771"/>
    <w:rsid w:val="3D142652"/>
    <w:rsid w:val="3F88662B"/>
    <w:rsid w:val="437F07A8"/>
    <w:rsid w:val="4A12460F"/>
    <w:rsid w:val="533E51F2"/>
    <w:rsid w:val="57756B17"/>
    <w:rsid w:val="70551770"/>
    <w:rsid w:val="71387E9E"/>
    <w:rsid w:val="7E1445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Body Text Indent"/>
    <w:basedOn w:val="1"/>
    <w:next w:val="4"/>
    <w:qFormat/>
    <w:uiPriority w:val="0"/>
    <w:pPr>
      <w:spacing w:line="360" w:lineRule="auto"/>
      <w:ind w:left="42" w:leftChars="20"/>
    </w:pPr>
    <w:rPr>
      <w:sz w:val="24"/>
      <w:szCs w:val="18"/>
    </w:rPr>
  </w:style>
  <w:style w:type="paragraph" w:customStyle="1" w:styleId="4">
    <w:name w:val="p16"/>
    <w:basedOn w:val="1"/>
    <w:next w:val="5"/>
    <w:qFormat/>
    <w:uiPriority w:val="0"/>
    <w:pPr>
      <w:widowControl/>
      <w:spacing w:line="360" w:lineRule="auto"/>
      <w:ind w:firstLine="420"/>
    </w:pPr>
    <w:rPr>
      <w:kern w:val="0"/>
      <w:sz w:val="24"/>
    </w:rPr>
  </w:style>
  <w:style w:type="paragraph" w:styleId="5">
    <w:name w:val="toc 2"/>
    <w:basedOn w:val="1"/>
    <w:next w:val="1"/>
    <w:qFormat/>
    <w:uiPriority w:val="39"/>
    <w:pPr>
      <w:ind w:left="210"/>
      <w:jc w:val="left"/>
    </w:pPr>
    <w:rPr>
      <w:smallCaps/>
      <w:sz w:val="20"/>
      <w:szCs w:val="20"/>
    </w:rPr>
  </w:style>
  <w:style w:type="paragraph" w:styleId="6">
    <w:name w:val="footer"/>
    <w:basedOn w:val="1"/>
    <w:next w:val="2"/>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First Indent 2"/>
    <w:basedOn w:val="3"/>
    <w:next w:val="1"/>
    <w:qFormat/>
    <w:uiPriority w:val="0"/>
    <w:pPr>
      <w:spacing w:after="120" w:line="240" w:lineRule="auto"/>
      <w:ind w:left="420" w:leftChars="200" w:firstLine="420" w:firstLineChars="200"/>
    </w:pPr>
    <w:rPr>
      <w:rFonts w:ascii="Times New Roman" w:hAnsi="Times New Roman"/>
      <w:sz w:val="21"/>
      <w:szCs w:val="24"/>
    </w:rPr>
  </w:style>
  <w:style w:type="table" w:styleId="10">
    <w:name w:val="Table Grid"/>
    <w:basedOn w:val="9"/>
    <w:unhideWhenUse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2">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3">
    <w:name w:val="BodyText1I2"/>
    <w:basedOn w:val="14"/>
    <w:qFormat/>
    <w:uiPriority w:val="0"/>
    <w:pPr>
      <w:spacing w:line="240" w:lineRule="auto"/>
      <w:ind w:firstLine="420"/>
    </w:pPr>
  </w:style>
  <w:style w:type="paragraph" w:customStyle="1" w:styleId="14">
    <w:name w:val="BodyTextIndent"/>
    <w:basedOn w:val="1"/>
    <w:qFormat/>
    <w:uiPriority w:val="0"/>
    <w:pPr>
      <w:spacing w:after="120" w:line="360" w:lineRule="auto"/>
      <w:ind w:left="420" w:leftChars="200" w:firstLine="1041" w:firstLineChars="200"/>
      <w:textAlignment w:val="baseline"/>
    </w:pPr>
  </w:style>
  <w:style w:type="character" w:customStyle="1" w:styleId="15">
    <w:name w:val="font51"/>
    <w:basedOn w:val="11"/>
    <w:qFormat/>
    <w:uiPriority w:val="0"/>
    <w:rPr>
      <w:rFonts w:hint="eastAsia" w:ascii="宋体" w:hAnsi="宋体" w:eastAsia="宋体" w:cs="宋体"/>
      <w:color w:val="000000"/>
      <w:sz w:val="20"/>
      <w:szCs w:val="20"/>
      <w:u w:val="single"/>
    </w:rPr>
  </w:style>
  <w:style w:type="character" w:customStyle="1" w:styleId="16">
    <w:name w:val="font21"/>
    <w:basedOn w:val="11"/>
    <w:qFormat/>
    <w:uiPriority w:val="0"/>
    <w:rPr>
      <w:rFonts w:hint="eastAsia" w:ascii="宋体" w:hAnsi="宋体" w:eastAsia="宋体" w:cs="宋体"/>
      <w:color w:val="000000"/>
      <w:sz w:val="20"/>
      <w:szCs w:val="20"/>
      <w:u w:val="none"/>
    </w:rPr>
  </w:style>
  <w:style w:type="paragraph" w:customStyle="1" w:styleId="17">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8">
    <w:name w:val="font91"/>
    <w:basedOn w:val="11"/>
    <w:qFormat/>
    <w:uiPriority w:val="0"/>
    <w:rPr>
      <w:rFonts w:hint="eastAsia" w:ascii="宋体" w:hAnsi="宋体" w:eastAsia="宋体" w:cs="宋体"/>
      <w:b/>
      <w:bCs/>
      <w:color w:val="FF0000"/>
      <w:sz w:val="24"/>
      <w:szCs w:val="24"/>
      <w:u w:val="none"/>
    </w:rPr>
  </w:style>
  <w:style w:type="character" w:customStyle="1" w:styleId="19">
    <w:name w:val="font61"/>
    <w:basedOn w:val="11"/>
    <w:qFormat/>
    <w:uiPriority w:val="0"/>
    <w:rPr>
      <w:rFonts w:hint="eastAsia" w:ascii="宋体" w:hAnsi="宋体" w:eastAsia="宋体" w:cs="宋体"/>
      <w:color w:val="FF0000"/>
      <w:sz w:val="20"/>
      <w:szCs w:val="20"/>
      <w:u w:val="none"/>
    </w:rPr>
  </w:style>
  <w:style w:type="character" w:customStyle="1" w:styleId="20">
    <w:name w:val="font11"/>
    <w:basedOn w:val="1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11170</Words>
  <Characters>15808</Characters>
  <Lines>0</Lines>
  <Paragraphs>0</Paragraphs>
  <TotalTime>0</TotalTime>
  <ScaleCrop>false</ScaleCrop>
  <LinksUpToDate>false</LinksUpToDate>
  <CharactersWithSpaces>16604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2023-04-07T07:14:00Z</dcterms:created>
  <dc:creator>鄂尔多斯草原高宇 ✨15047795745</dc:creator>
  <cp:lastModifiedBy>荣儿</cp:lastModifiedBy>
  <dcterms:modified xsi:type="dcterms:W3CDTF">2023-06-30T08:12:47Z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DE15B18194BF4BC38AE547A256A878A9_11</vt:lpwstr>
  </property>
</Properties>
</file>